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667790296"/>
        <w:docPartObj>
          <w:docPartGallery w:val="Cover Pages"/>
          <w:docPartUnique/>
        </w:docPartObj>
      </w:sdtPr>
      <w:sdtEndPr>
        <w:rPr>
          <w:b/>
          <w:noProof/>
          <w:position w:val="-80"/>
        </w:rPr>
      </w:sdtEndPr>
      <w:sdtContent>
        <w:p w:rsidR="00F85BF2" w:rsidRDefault="00F85BF2" w:rsidP="00980743">
          <w:pPr>
            <w:tabs>
              <w:tab w:val="center" w:pos="4819"/>
            </w:tabs>
          </w:pPr>
        </w:p>
        <w:p w:rsidR="00980743" w:rsidRDefault="00980743" w:rsidP="00980743">
          <w:pPr>
            <w:pStyle w:val="NoSpacing"/>
            <w:rPr>
              <w:rFonts w:asciiTheme="majorHAnsi" w:hAnsiTheme="majorHAnsi"/>
              <w:sz w:val="52"/>
            </w:rPr>
          </w:pPr>
          <w:bookmarkStart w:id="1" w:name="_Toc140826825"/>
        </w:p>
        <w:p w:rsidR="00980743" w:rsidRDefault="00980743" w:rsidP="00980743">
          <w:pPr>
            <w:pStyle w:val="NoSpacing"/>
            <w:rPr>
              <w:rFonts w:asciiTheme="majorHAnsi" w:hAnsiTheme="majorHAnsi"/>
              <w:sz w:val="52"/>
            </w:rPr>
          </w:pPr>
        </w:p>
        <w:p w:rsidR="00980743" w:rsidRDefault="00980743" w:rsidP="00980743">
          <w:pPr>
            <w:pStyle w:val="NoSpacing"/>
            <w:rPr>
              <w:rFonts w:asciiTheme="majorHAnsi" w:hAnsiTheme="majorHAnsi"/>
              <w:sz w:val="52"/>
            </w:rPr>
          </w:pPr>
        </w:p>
        <w:p w:rsidR="00980743" w:rsidRDefault="00980743" w:rsidP="00980743">
          <w:pPr>
            <w:pStyle w:val="NoSpacing"/>
            <w:rPr>
              <w:rFonts w:asciiTheme="majorHAnsi" w:hAnsiTheme="majorHAnsi"/>
              <w:sz w:val="52"/>
            </w:rPr>
          </w:pPr>
        </w:p>
        <w:p w:rsidR="000A1E69" w:rsidRPr="00980743" w:rsidRDefault="00F60147" w:rsidP="00980743">
          <w:pPr>
            <w:pStyle w:val="NoSpacing"/>
            <w:rPr>
              <w:rFonts w:asciiTheme="majorHAnsi" w:hAnsiTheme="majorHAnsi"/>
              <w:sz w:val="320"/>
            </w:rPr>
          </w:pPr>
          <w:r w:rsidRPr="00980743">
            <w:rPr>
              <w:rFonts w:asciiTheme="majorHAnsi" w:hAnsiTheme="majorHAnsi"/>
              <w:sz w:val="52"/>
            </w:rPr>
            <w:t xml:space="preserve">Australian Public Service-Academia Collaboration </w:t>
          </w:r>
          <w:r w:rsidR="00252BF0" w:rsidRPr="00980743">
            <w:rPr>
              <w:rFonts w:asciiTheme="majorHAnsi" w:hAnsiTheme="majorHAnsi"/>
              <w:sz w:val="52"/>
            </w:rPr>
            <w:t xml:space="preserve">Workshop </w:t>
          </w:r>
          <w:r w:rsidR="00252BF0" w:rsidRPr="00980743">
            <w:rPr>
              <w:rFonts w:asciiTheme="majorHAnsi" w:hAnsiTheme="majorHAnsi"/>
              <w:sz w:val="52"/>
            </w:rPr>
            <w:br/>
          </w:r>
          <w:r w:rsidRPr="00980743">
            <w:rPr>
              <w:rFonts w:asciiTheme="majorHAnsi" w:hAnsiTheme="majorHAnsi"/>
              <w:sz w:val="52"/>
            </w:rPr>
            <w:t>Discussion Paper</w:t>
          </w:r>
          <w:bookmarkEnd w:id="1"/>
        </w:p>
        <w:p w:rsidR="000A1E69" w:rsidRPr="009C26DB" w:rsidRDefault="000A1E69" w:rsidP="009C26DB">
          <w:pPr>
            <w:pStyle w:val="Date"/>
            <w:framePr w:w="10871" w:wrap="around" w:hAnchor="page" w:x="446" w:y="5061"/>
            <w:rPr>
              <w:rFonts w:ascii="Segoe UI Semilight" w:hAnsi="Segoe UI Semilight" w:cs="Segoe UI Semilight"/>
              <w:sz w:val="24"/>
            </w:rPr>
          </w:pPr>
        </w:p>
        <w:p w:rsidR="000A1E69" w:rsidRPr="009C26DB" w:rsidRDefault="000A1E69">
          <w:pPr>
            <w:pStyle w:val="Cornergraphic"/>
            <w:framePr w:wrap="around"/>
            <w:rPr>
              <w:rFonts w:ascii="Segoe UI Semilight" w:hAnsi="Segoe UI Semilight" w:cs="Segoe UI Semilight"/>
              <w:color w:val="FFFFFF" w:themeColor="background1"/>
              <w:sz w:val="24"/>
            </w:rPr>
          </w:pPr>
        </w:p>
        <w:p w:rsidR="000A1E69" w:rsidRPr="009C26DB" w:rsidRDefault="000A1E69">
          <w:pPr>
            <w:pStyle w:val="Cornergraphic"/>
            <w:framePr w:wrap="around"/>
            <w:rPr>
              <w:rFonts w:ascii="Segoe UI Semilight" w:hAnsi="Segoe UI Semilight" w:cs="Segoe UI Semilight"/>
              <w:sz w:val="24"/>
            </w:rPr>
          </w:pPr>
        </w:p>
        <w:p w:rsidR="00695E84" w:rsidRDefault="00695E84">
          <w:pPr>
            <w:spacing w:after="160" w:line="259" w:lineRule="auto"/>
            <w:rPr>
              <w:noProof/>
              <w:position w:val="-80"/>
            </w:rPr>
          </w:pPr>
        </w:p>
        <w:p w:rsidR="00695E84" w:rsidRDefault="00695E84" w:rsidP="00980743">
          <w:pPr>
            <w:pStyle w:val="IdentifierDash-White"/>
            <w:rPr>
              <w:noProof/>
            </w:rPr>
          </w:pPr>
          <w:r>
            <w:rPr>
              <w:noProof/>
            </w:rPr>
            <w:br w:type="page"/>
          </w:r>
        </w:p>
        <w:p w:rsidR="000A1E69" w:rsidRDefault="000B6BC3">
          <w:pPr>
            <w:spacing w:after="160" w:line="259" w:lineRule="auto"/>
            <w:rPr>
              <w:noProof/>
              <w:position w:val="-80"/>
            </w:rPr>
          </w:pPr>
        </w:p>
      </w:sdtContent>
    </w:sdt>
    <w:sdt>
      <w:sdtPr>
        <w:rPr>
          <w:rFonts w:asciiTheme="minorHAnsi" w:eastAsiaTheme="minorEastAsia" w:hAnsiTheme="minorHAnsi" w:cstheme="minorBidi"/>
          <w:b w:val="0"/>
          <w:color w:val="auto"/>
          <w:sz w:val="20"/>
          <w:szCs w:val="22"/>
          <w:lang w:eastAsia="zh-CN"/>
        </w:rPr>
        <w:id w:val="2077008654"/>
        <w:docPartObj>
          <w:docPartGallery w:val="Table of Contents"/>
          <w:docPartUnique/>
        </w:docPartObj>
      </w:sdtPr>
      <w:sdtEndPr>
        <w:rPr>
          <w:bCs/>
          <w:noProof/>
          <w:sz w:val="22"/>
        </w:rPr>
      </w:sdtEndPr>
      <w:sdtContent>
        <w:p w:rsidR="001D0D30" w:rsidRPr="001D0D30" w:rsidRDefault="001D0D30" w:rsidP="001D0D30">
          <w:pPr>
            <w:pStyle w:val="TOCHeading"/>
          </w:pPr>
          <w:r w:rsidRPr="001D0D30">
            <w:t xml:space="preserve">Table of </w:t>
          </w:r>
          <w:r w:rsidRPr="00C64877">
            <w:t>Contents</w:t>
          </w:r>
        </w:p>
        <w:p w:rsidR="00980743" w:rsidRPr="00040BDE" w:rsidRDefault="001D0D30">
          <w:pPr>
            <w:pStyle w:val="TOC1"/>
            <w:rPr>
              <w:b w:val="0"/>
              <w:noProof/>
              <w:color w:val="auto"/>
              <w:sz w:val="22"/>
              <w:lang w:eastAsia="en-AU"/>
            </w:rPr>
          </w:pPr>
          <w:r>
            <w:fldChar w:fldCharType="begin"/>
          </w:r>
          <w:r>
            <w:instrText xml:space="preserve"> TOC \o "1-2" \h \z \u </w:instrText>
          </w:r>
          <w:r>
            <w:fldChar w:fldCharType="separate"/>
          </w:r>
          <w:hyperlink w:anchor="_Toc140834159" w:history="1">
            <w:r w:rsidR="00980743" w:rsidRPr="00040BDE">
              <w:rPr>
                <w:rStyle w:val="Hyperlink"/>
                <w:noProof/>
              </w:rPr>
              <w:t>Introduction</w:t>
            </w:r>
            <w:r w:rsidR="00980743" w:rsidRPr="00040BDE">
              <w:rPr>
                <w:noProof/>
                <w:webHidden/>
              </w:rPr>
              <w:tab/>
            </w:r>
            <w:r w:rsidR="00980743" w:rsidRPr="00040BDE">
              <w:rPr>
                <w:noProof/>
                <w:webHidden/>
              </w:rPr>
              <w:fldChar w:fldCharType="begin"/>
            </w:r>
            <w:r w:rsidR="00980743" w:rsidRPr="00040BDE">
              <w:rPr>
                <w:noProof/>
                <w:webHidden/>
              </w:rPr>
              <w:instrText xml:space="preserve"> PAGEREF _Toc140834159 \h </w:instrText>
            </w:r>
            <w:r w:rsidR="00980743" w:rsidRPr="00040BDE">
              <w:rPr>
                <w:noProof/>
                <w:webHidden/>
              </w:rPr>
            </w:r>
            <w:r w:rsidR="00980743" w:rsidRPr="00040BDE">
              <w:rPr>
                <w:noProof/>
                <w:webHidden/>
              </w:rPr>
              <w:fldChar w:fldCharType="separate"/>
            </w:r>
            <w:r w:rsidR="00980743" w:rsidRPr="00040BDE">
              <w:rPr>
                <w:noProof/>
                <w:webHidden/>
              </w:rPr>
              <w:t>3</w:t>
            </w:r>
            <w:r w:rsidR="00980743" w:rsidRPr="00040BDE">
              <w:rPr>
                <w:noProof/>
                <w:webHidden/>
              </w:rPr>
              <w:fldChar w:fldCharType="end"/>
            </w:r>
          </w:hyperlink>
        </w:p>
        <w:p w:rsidR="00980743" w:rsidRPr="00040BDE" w:rsidRDefault="000B6BC3">
          <w:pPr>
            <w:pStyle w:val="TOC2"/>
            <w:rPr>
              <w:noProof/>
              <w:color w:val="auto"/>
              <w:sz w:val="22"/>
              <w:lang w:eastAsia="en-AU"/>
            </w:rPr>
          </w:pPr>
          <w:hyperlink w:anchor="_Toc140834160" w:history="1">
            <w:r w:rsidR="00980743" w:rsidRPr="00040BDE">
              <w:rPr>
                <w:rStyle w:val="Hyperlink"/>
                <w:noProof/>
              </w:rPr>
              <w:t>What do you need to do?</w:t>
            </w:r>
            <w:r w:rsidR="00980743" w:rsidRPr="00040BDE">
              <w:rPr>
                <w:noProof/>
                <w:webHidden/>
              </w:rPr>
              <w:tab/>
            </w:r>
            <w:r w:rsidR="00980743" w:rsidRPr="00040BDE">
              <w:rPr>
                <w:noProof/>
                <w:webHidden/>
              </w:rPr>
              <w:fldChar w:fldCharType="begin"/>
            </w:r>
            <w:r w:rsidR="00980743" w:rsidRPr="00040BDE">
              <w:rPr>
                <w:noProof/>
                <w:webHidden/>
              </w:rPr>
              <w:instrText xml:space="preserve"> PAGEREF _Toc140834160 \h </w:instrText>
            </w:r>
            <w:r w:rsidR="00980743" w:rsidRPr="00040BDE">
              <w:rPr>
                <w:noProof/>
                <w:webHidden/>
              </w:rPr>
            </w:r>
            <w:r w:rsidR="00980743" w:rsidRPr="00040BDE">
              <w:rPr>
                <w:noProof/>
                <w:webHidden/>
              </w:rPr>
              <w:fldChar w:fldCharType="separate"/>
            </w:r>
            <w:r w:rsidR="00980743" w:rsidRPr="00040BDE">
              <w:rPr>
                <w:noProof/>
                <w:webHidden/>
              </w:rPr>
              <w:t>3</w:t>
            </w:r>
            <w:r w:rsidR="00980743" w:rsidRPr="00040BDE">
              <w:rPr>
                <w:noProof/>
                <w:webHidden/>
              </w:rPr>
              <w:fldChar w:fldCharType="end"/>
            </w:r>
          </w:hyperlink>
        </w:p>
        <w:p w:rsidR="00980743" w:rsidRPr="00040BDE" w:rsidRDefault="000B6BC3">
          <w:pPr>
            <w:pStyle w:val="TOC1"/>
            <w:rPr>
              <w:b w:val="0"/>
              <w:noProof/>
              <w:color w:val="auto"/>
              <w:sz w:val="22"/>
              <w:lang w:eastAsia="en-AU"/>
            </w:rPr>
          </w:pPr>
          <w:hyperlink w:anchor="_Toc140834161" w:history="1">
            <w:r w:rsidR="00980743" w:rsidRPr="00040BDE">
              <w:rPr>
                <w:rStyle w:val="Hyperlink"/>
                <w:noProof/>
              </w:rPr>
              <w:t>Context</w:t>
            </w:r>
            <w:r w:rsidR="00980743" w:rsidRPr="00040BDE">
              <w:rPr>
                <w:noProof/>
                <w:webHidden/>
              </w:rPr>
              <w:tab/>
            </w:r>
            <w:r w:rsidR="00980743" w:rsidRPr="00040BDE">
              <w:rPr>
                <w:noProof/>
                <w:webHidden/>
              </w:rPr>
              <w:fldChar w:fldCharType="begin"/>
            </w:r>
            <w:r w:rsidR="00980743" w:rsidRPr="00040BDE">
              <w:rPr>
                <w:noProof/>
                <w:webHidden/>
              </w:rPr>
              <w:instrText xml:space="preserve"> PAGEREF _Toc140834161 \h </w:instrText>
            </w:r>
            <w:r w:rsidR="00980743" w:rsidRPr="00040BDE">
              <w:rPr>
                <w:noProof/>
                <w:webHidden/>
              </w:rPr>
            </w:r>
            <w:r w:rsidR="00980743" w:rsidRPr="00040BDE">
              <w:rPr>
                <w:noProof/>
                <w:webHidden/>
              </w:rPr>
              <w:fldChar w:fldCharType="separate"/>
            </w:r>
            <w:r w:rsidR="00980743" w:rsidRPr="00040BDE">
              <w:rPr>
                <w:noProof/>
                <w:webHidden/>
              </w:rPr>
              <w:t>4</w:t>
            </w:r>
            <w:r w:rsidR="00980743" w:rsidRPr="00040BDE">
              <w:rPr>
                <w:noProof/>
                <w:webHidden/>
              </w:rPr>
              <w:fldChar w:fldCharType="end"/>
            </w:r>
          </w:hyperlink>
        </w:p>
        <w:p w:rsidR="00980743" w:rsidRPr="00040BDE" w:rsidRDefault="000B6BC3">
          <w:pPr>
            <w:pStyle w:val="TOC1"/>
            <w:rPr>
              <w:b w:val="0"/>
              <w:noProof/>
              <w:color w:val="auto"/>
              <w:sz w:val="22"/>
              <w:lang w:eastAsia="en-AU"/>
            </w:rPr>
          </w:pPr>
          <w:hyperlink w:anchor="_Toc140834162" w:history="1">
            <w:r w:rsidR="00980743" w:rsidRPr="00040BDE">
              <w:rPr>
                <w:rStyle w:val="Hyperlink"/>
                <w:noProof/>
              </w:rPr>
              <w:t>Possible collaboration mechanisms and innovations</w:t>
            </w:r>
            <w:r w:rsidR="00980743" w:rsidRPr="00040BDE">
              <w:rPr>
                <w:noProof/>
                <w:webHidden/>
              </w:rPr>
              <w:tab/>
            </w:r>
            <w:r w:rsidR="00980743" w:rsidRPr="00040BDE">
              <w:rPr>
                <w:noProof/>
                <w:webHidden/>
              </w:rPr>
              <w:fldChar w:fldCharType="begin"/>
            </w:r>
            <w:r w:rsidR="00980743" w:rsidRPr="00040BDE">
              <w:rPr>
                <w:noProof/>
                <w:webHidden/>
              </w:rPr>
              <w:instrText xml:space="preserve"> PAGEREF _Toc140834162 \h </w:instrText>
            </w:r>
            <w:r w:rsidR="00980743" w:rsidRPr="00040BDE">
              <w:rPr>
                <w:noProof/>
                <w:webHidden/>
              </w:rPr>
            </w:r>
            <w:r w:rsidR="00980743" w:rsidRPr="00040BDE">
              <w:rPr>
                <w:noProof/>
                <w:webHidden/>
              </w:rPr>
              <w:fldChar w:fldCharType="separate"/>
            </w:r>
            <w:r w:rsidR="00980743" w:rsidRPr="00040BDE">
              <w:rPr>
                <w:noProof/>
                <w:webHidden/>
              </w:rPr>
              <w:t>6</w:t>
            </w:r>
            <w:r w:rsidR="00980743" w:rsidRPr="00040BDE">
              <w:rPr>
                <w:noProof/>
                <w:webHidden/>
              </w:rPr>
              <w:fldChar w:fldCharType="end"/>
            </w:r>
          </w:hyperlink>
        </w:p>
        <w:p w:rsidR="00980743" w:rsidRPr="00040BDE" w:rsidRDefault="000B6BC3">
          <w:pPr>
            <w:pStyle w:val="TOC2"/>
            <w:rPr>
              <w:noProof/>
              <w:color w:val="auto"/>
              <w:sz w:val="22"/>
              <w:lang w:eastAsia="en-AU"/>
            </w:rPr>
          </w:pPr>
          <w:hyperlink w:anchor="_Toc140834163" w:history="1">
            <w:r w:rsidR="00980743" w:rsidRPr="00040BDE">
              <w:rPr>
                <w:rStyle w:val="Hyperlink"/>
                <w:noProof/>
              </w:rPr>
              <w:t>Discovery</w:t>
            </w:r>
            <w:r w:rsidR="00980743" w:rsidRPr="00040BDE">
              <w:rPr>
                <w:noProof/>
                <w:webHidden/>
              </w:rPr>
              <w:tab/>
            </w:r>
            <w:r w:rsidR="00980743" w:rsidRPr="00040BDE">
              <w:rPr>
                <w:noProof/>
                <w:webHidden/>
              </w:rPr>
              <w:fldChar w:fldCharType="begin"/>
            </w:r>
            <w:r w:rsidR="00980743" w:rsidRPr="00040BDE">
              <w:rPr>
                <w:noProof/>
                <w:webHidden/>
              </w:rPr>
              <w:instrText xml:space="preserve"> PAGEREF _Toc140834163 \h </w:instrText>
            </w:r>
            <w:r w:rsidR="00980743" w:rsidRPr="00040BDE">
              <w:rPr>
                <w:noProof/>
                <w:webHidden/>
              </w:rPr>
            </w:r>
            <w:r w:rsidR="00980743" w:rsidRPr="00040BDE">
              <w:rPr>
                <w:noProof/>
                <w:webHidden/>
              </w:rPr>
              <w:fldChar w:fldCharType="separate"/>
            </w:r>
            <w:r w:rsidR="00980743" w:rsidRPr="00040BDE">
              <w:rPr>
                <w:noProof/>
                <w:webHidden/>
              </w:rPr>
              <w:t>6</w:t>
            </w:r>
            <w:r w:rsidR="00980743" w:rsidRPr="00040BDE">
              <w:rPr>
                <w:noProof/>
                <w:webHidden/>
              </w:rPr>
              <w:fldChar w:fldCharType="end"/>
            </w:r>
          </w:hyperlink>
        </w:p>
        <w:p w:rsidR="00980743" w:rsidRDefault="000B6BC3">
          <w:pPr>
            <w:pStyle w:val="TOC2"/>
            <w:rPr>
              <w:noProof/>
              <w:color w:val="auto"/>
              <w:sz w:val="22"/>
              <w:lang w:eastAsia="en-AU"/>
            </w:rPr>
          </w:pPr>
          <w:hyperlink w:anchor="_Toc140834164" w:history="1">
            <w:r w:rsidR="00980743" w:rsidRPr="00040BDE">
              <w:rPr>
                <w:rStyle w:val="Hyperlink"/>
                <w:noProof/>
              </w:rPr>
              <w:t>Design</w:t>
            </w:r>
            <w:r w:rsidR="00980743" w:rsidRPr="00040BDE">
              <w:rPr>
                <w:noProof/>
                <w:webHidden/>
              </w:rPr>
              <w:tab/>
            </w:r>
            <w:r w:rsidR="00980743" w:rsidRPr="00040BDE">
              <w:rPr>
                <w:noProof/>
                <w:webHidden/>
              </w:rPr>
              <w:fldChar w:fldCharType="begin"/>
            </w:r>
            <w:r w:rsidR="00980743" w:rsidRPr="00040BDE">
              <w:rPr>
                <w:noProof/>
                <w:webHidden/>
              </w:rPr>
              <w:instrText xml:space="preserve"> PAGEREF _Toc140834164 \h </w:instrText>
            </w:r>
            <w:r w:rsidR="00980743" w:rsidRPr="00040BDE">
              <w:rPr>
                <w:noProof/>
                <w:webHidden/>
              </w:rPr>
            </w:r>
            <w:r w:rsidR="00980743" w:rsidRPr="00040BDE">
              <w:rPr>
                <w:noProof/>
                <w:webHidden/>
              </w:rPr>
              <w:fldChar w:fldCharType="separate"/>
            </w:r>
            <w:r w:rsidR="00980743" w:rsidRPr="00040BDE">
              <w:rPr>
                <w:noProof/>
                <w:webHidden/>
              </w:rPr>
              <w:t>7</w:t>
            </w:r>
            <w:r w:rsidR="00980743" w:rsidRPr="00040BDE">
              <w:rPr>
                <w:noProof/>
                <w:webHidden/>
              </w:rPr>
              <w:fldChar w:fldCharType="end"/>
            </w:r>
          </w:hyperlink>
        </w:p>
        <w:p w:rsidR="00980743" w:rsidRDefault="000B6BC3">
          <w:pPr>
            <w:pStyle w:val="TOC2"/>
            <w:rPr>
              <w:noProof/>
              <w:color w:val="auto"/>
              <w:sz w:val="22"/>
              <w:lang w:eastAsia="en-AU"/>
            </w:rPr>
          </w:pPr>
          <w:hyperlink w:anchor="_Toc140834165" w:history="1">
            <w:r w:rsidR="00980743" w:rsidRPr="00235426">
              <w:rPr>
                <w:rStyle w:val="Hyperlink"/>
                <w:noProof/>
              </w:rPr>
              <w:t>Delivery</w:t>
            </w:r>
            <w:r w:rsidR="00980743">
              <w:rPr>
                <w:noProof/>
                <w:webHidden/>
              </w:rPr>
              <w:tab/>
            </w:r>
            <w:r w:rsidR="00980743">
              <w:rPr>
                <w:noProof/>
                <w:webHidden/>
              </w:rPr>
              <w:fldChar w:fldCharType="begin"/>
            </w:r>
            <w:r w:rsidR="00980743">
              <w:rPr>
                <w:noProof/>
                <w:webHidden/>
              </w:rPr>
              <w:instrText xml:space="preserve"> PAGEREF _Toc140834165 \h </w:instrText>
            </w:r>
            <w:r w:rsidR="00980743">
              <w:rPr>
                <w:noProof/>
                <w:webHidden/>
              </w:rPr>
            </w:r>
            <w:r w:rsidR="00980743">
              <w:rPr>
                <w:noProof/>
                <w:webHidden/>
              </w:rPr>
              <w:fldChar w:fldCharType="separate"/>
            </w:r>
            <w:r w:rsidR="00980743">
              <w:rPr>
                <w:noProof/>
                <w:webHidden/>
              </w:rPr>
              <w:t>9</w:t>
            </w:r>
            <w:r w:rsidR="00980743">
              <w:rPr>
                <w:noProof/>
                <w:webHidden/>
              </w:rPr>
              <w:fldChar w:fldCharType="end"/>
            </w:r>
          </w:hyperlink>
        </w:p>
        <w:p w:rsidR="00980743" w:rsidRDefault="000B6BC3">
          <w:pPr>
            <w:pStyle w:val="TOC2"/>
            <w:rPr>
              <w:noProof/>
              <w:color w:val="auto"/>
              <w:sz w:val="22"/>
              <w:lang w:eastAsia="en-AU"/>
            </w:rPr>
          </w:pPr>
          <w:hyperlink w:anchor="_Toc140834166" w:history="1">
            <w:r w:rsidR="00980743" w:rsidRPr="00235426">
              <w:rPr>
                <w:rStyle w:val="Hyperlink"/>
                <w:noProof/>
              </w:rPr>
              <w:t>Review</w:t>
            </w:r>
            <w:r w:rsidR="00980743">
              <w:rPr>
                <w:noProof/>
                <w:webHidden/>
              </w:rPr>
              <w:tab/>
            </w:r>
            <w:r w:rsidR="00980743">
              <w:rPr>
                <w:noProof/>
                <w:webHidden/>
              </w:rPr>
              <w:fldChar w:fldCharType="begin"/>
            </w:r>
            <w:r w:rsidR="00980743">
              <w:rPr>
                <w:noProof/>
                <w:webHidden/>
              </w:rPr>
              <w:instrText xml:space="preserve"> PAGEREF _Toc140834166 \h </w:instrText>
            </w:r>
            <w:r w:rsidR="00980743">
              <w:rPr>
                <w:noProof/>
                <w:webHidden/>
              </w:rPr>
            </w:r>
            <w:r w:rsidR="00980743">
              <w:rPr>
                <w:noProof/>
                <w:webHidden/>
              </w:rPr>
              <w:fldChar w:fldCharType="separate"/>
            </w:r>
            <w:r w:rsidR="00980743">
              <w:rPr>
                <w:noProof/>
                <w:webHidden/>
              </w:rPr>
              <w:t>9</w:t>
            </w:r>
            <w:r w:rsidR="00980743">
              <w:rPr>
                <w:noProof/>
                <w:webHidden/>
              </w:rPr>
              <w:fldChar w:fldCharType="end"/>
            </w:r>
          </w:hyperlink>
        </w:p>
        <w:p w:rsidR="00980743" w:rsidRDefault="000B6BC3">
          <w:pPr>
            <w:pStyle w:val="TOC1"/>
            <w:rPr>
              <w:b w:val="0"/>
              <w:noProof/>
              <w:color w:val="auto"/>
              <w:sz w:val="22"/>
              <w:lang w:eastAsia="en-AU"/>
            </w:rPr>
          </w:pPr>
          <w:hyperlink w:anchor="_Toc140834167" w:history="1">
            <w:r w:rsidR="00980743" w:rsidRPr="00235426">
              <w:rPr>
                <w:rStyle w:val="Hyperlink"/>
                <w:noProof/>
              </w:rPr>
              <w:t>Appendix A: Further reading and research</w:t>
            </w:r>
            <w:r w:rsidR="00980743">
              <w:rPr>
                <w:noProof/>
                <w:webHidden/>
              </w:rPr>
              <w:tab/>
            </w:r>
            <w:r w:rsidR="00980743">
              <w:rPr>
                <w:noProof/>
                <w:webHidden/>
              </w:rPr>
              <w:fldChar w:fldCharType="begin"/>
            </w:r>
            <w:r w:rsidR="00980743">
              <w:rPr>
                <w:noProof/>
                <w:webHidden/>
              </w:rPr>
              <w:instrText xml:space="preserve"> PAGEREF _Toc140834167 \h </w:instrText>
            </w:r>
            <w:r w:rsidR="00980743">
              <w:rPr>
                <w:noProof/>
                <w:webHidden/>
              </w:rPr>
            </w:r>
            <w:r w:rsidR="00980743">
              <w:rPr>
                <w:noProof/>
                <w:webHidden/>
              </w:rPr>
              <w:fldChar w:fldCharType="separate"/>
            </w:r>
            <w:r w:rsidR="00980743">
              <w:rPr>
                <w:noProof/>
                <w:webHidden/>
              </w:rPr>
              <w:t>12</w:t>
            </w:r>
            <w:r w:rsidR="00980743">
              <w:rPr>
                <w:noProof/>
                <w:webHidden/>
              </w:rPr>
              <w:fldChar w:fldCharType="end"/>
            </w:r>
          </w:hyperlink>
        </w:p>
        <w:p w:rsidR="00980743" w:rsidRDefault="000B6BC3">
          <w:pPr>
            <w:pStyle w:val="TOC2"/>
            <w:rPr>
              <w:noProof/>
              <w:color w:val="auto"/>
              <w:sz w:val="22"/>
              <w:lang w:eastAsia="en-AU"/>
            </w:rPr>
          </w:pPr>
          <w:hyperlink w:anchor="_Toc140834168" w:history="1">
            <w:r w:rsidR="00980743" w:rsidRPr="00235426">
              <w:rPr>
                <w:rStyle w:val="Hyperlink"/>
                <w:noProof/>
              </w:rPr>
              <w:t>Discovery</w:t>
            </w:r>
            <w:r w:rsidR="00980743">
              <w:rPr>
                <w:noProof/>
                <w:webHidden/>
              </w:rPr>
              <w:tab/>
            </w:r>
            <w:r w:rsidR="00980743">
              <w:rPr>
                <w:noProof/>
                <w:webHidden/>
              </w:rPr>
              <w:fldChar w:fldCharType="begin"/>
            </w:r>
            <w:r w:rsidR="00980743">
              <w:rPr>
                <w:noProof/>
                <w:webHidden/>
              </w:rPr>
              <w:instrText xml:space="preserve"> PAGEREF _Toc140834168 \h </w:instrText>
            </w:r>
            <w:r w:rsidR="00980743">
              <w:rPr>
                <w:noProof/>
                <w:webHidden/>
              </w:rPr>
            </w:r>
            <w:r w:rsidR="00980743">
              <w:rPr>
                <w:noProof/>
                <w:webHidden/>
              </w:rPr>
              <w:fldChar w:fldCharType="separate"/>
            </w:r>
            <w:r w:rsidR="00980743">
              <w:rPr>
                <w:noProof/>
                <w:webHidden/>
              </w:rPr>
              <w:t>12</w:t>
            </w:r>
            <w:r w:rsidR="00980743">
              <w:rPr>
                <w:noProof/>
                <w:webHidden/>
              </w:rPr>
              <w:fldChar w:fldCharType="end"/>
            </w:r>
          </w:hyperlink>
        </w:p>
        <w:p w:rsidR="00980743" w:rsidRDefault="000B6BC3">
          <w:pPr>
            <w:pStyle w:val="TOC2"/>
            <w:rPr>
              <w:noProof/>
              <w:color w:val="auto"/>
              <w:sz w:val="22"/>
              <w:lang w:eastAsia="en-AU"/>
            </w:rPr>
          </w:pPr>
          <w:hyperlink w:anchor="_Toc140834169" w:history="1">
            <w:r w:rsidR="00980743" w:rsidRPr="00235426">
              <w:rPr>
                <w:rStyle w:val="Hyperlink"/>
                <w:noProof/>
              </w:rPr>
              <w:t>Design</w:t>
            </w:r>
            <w:r w:rsidR="00980743">
              <w:rPr>
                <w:noProof/>
                <w:webHidden/>
              </w:rPr>
              <w:tab/>
            </w:r>
            <w:r w:rsidR="00980743">
              <w:rPr>
                <w:noProof/>
                <w:webHidden/>
              </w:rPr>
              <w:fldChar w:fldCharType="begin"/>
            </w:r>
            <w:r w:rsidR="00980743">
              <w:rPr>
                <w:noProof/>
                <w:webHidden/>
              </w:rPr>
              <w:instrText xml:space="preserve"> PAGEREF _Toc140834169 \h </w:instrText>
            </w:r>
            <w:r w:rsidR="00980743">
              <w:rPr>
                <w:noProof/>
                <w:webHidden/>
              </w:rPr>
            </w:r>
            <w:r w:rsidR="00980743">
              <w:rPr>
                <w:noProof/>
                <w:webHidden/>
              </w:rPr>
              <w:fldChar w:fldCharType="separate"/>
            </w:r>
            <w:r w:rsidR="00980743">
              <w:rPr>
                <w:noProof/>
                <w:webHidden/>
              </w:rPr>
              <w:t>13</w:t>
            </w:r>
            <w:r w:rsidR="00980743">
              <w:rPr>
                <w:noProof/>
                <w:webHidden/>
              </w:rPr>
              <w:fldChar w:fldCharType="end"/>
            </w:r>
          </w:hyperlink>
        </w:p>
        <w:p w:rsidR="00980743" w:rsidRDefault="000B6BC3">
          <w:pPr>
            <w:pStyle w:val="TOC2"/>
            <w:rPr>
              <w:noProof/>
              <w:color w:val="auto"/>
              <w:sz w:val="22"/>
              <w:lang w:eastAsia="en-AU"/>
            </w:rPr>
          </w:pPr>
          <w:hyperlink w:anchor="_Toc140834170" w:history="1">
            <w:r w:rsidR="00980743" w:rsidRPr="00235426">
              <w:rPr>
                <w:rStyle w:val="Hyperlink"/>
                <w:noProof/>
              </w:rPr>
              <w:t>Delivery</w:t>
            </w:r>
            <w:r w:rsidR="00980743">
              <w:rPr>
                <w:noProof/>
                <w:webHidden/>
              </w:rPr>
              <w:tab/>
            </w:r>
            <w:r w:rsidR="00980743">
              <w:rPr>
                <w:noProof/>
                <w:webHidden/>
              </w:rPr>
              <w:fldChar w:fldCharType="begin"/>
            </w:r>
            <w:r w:rsidR="00980743">
              <w:rPr>
                <w:noProof/>
                <w:webHidden/>
              </w:rPr>
              <w:instrText xml:space="preserve"> PAGEREF _Toc140834170 \h </w:instrText>
            </w:r>
            <w:r w:rsidR="00980743">
              <w:rPr>
                <w:noProof/>
                <w:webHidden/>
              </w:rPr>
            </w:r>
            <w:r w:rsidR="00980743">
              <w:rPr>
                <w:noProof/>
                <w:webHidden/>
              </w:rPr>
              <w:fldChar w:fldCharType="separate"/>
            </w:r>
            <w:r w:rsidR="00980743">
              <w:rPr>
                <w:noProof/>
                <w:webHidden/>
              </w:rPr>
              <w:t>15</w:t>
            </w:r>
            <w:r w:rsidR="00980743">
              <w:rPr>
                <w:noProof/>
                <w:webHidden/>
              </w:rPr>
              <w:fldChar w:fldCharType="end"/>
            </w:r>
          </w:hyperlink>
        </w:p>
        <w:p w:rsidR="00980743" w:rsidRDefault="000B6BC3">
          <w:pPr>
            <w:pStyle w:val="TOC2"/>
            <w:rPr>
              <w:noProof/>
              <w:color w:val="auto"/>
              <w:sz w:val="22"/>
              <w:lang w:eastAsia="en-AU"/>
            </w:rPr>
          </w:pPr>
          <w:hyperlink w:anchor="_Toc140834171" w:history="1">
            <w:r w:rsidR="00980743" w:rsidRPr="00235426">
              <w:rPr>
                <w:rStyle w:val="Hyperlink"/>
                <w:noProof/>
              </w:rPr>
              <w:t>Review</w:t>
            </w:r>
            <w:r w:rsidR="00980743">
              <w:rPr>
                <w:noProof/>
                <w:webHidden/>
              </w:rPr>
              <w:tab/>
            </w:r>
            <w:r w:rsidR="00980743">
              <w:rPr>
                <w:noProof/>
                <w:webHidden/>
              </w:rPr>
              <w:fldChar w:fldCharType="begin"/>
            </w:r>
            <w:r w:rsidR="00980743">
              <w:rPr>
                <w:noProof/>
                <w:webHidden/>
              </w:rPr>
              <w:instrText xml:space="preserve"> PAGEREF _Toc140834171 \h </w:instrText>
            </w:r>
            <w:r w:rsidR="00980743">
              <w:rPr>
                <w:noProof/>
                <w:webHidden/>
              </w:rPr>
            </w:r>
            <w:r w:rsidR="00980743">
              <w:rPr>
                <w:noProof/>
                <w:webHidden/>
              </w:rPr>
              <w:fldChar w:fldCharType="separate"/>
            </w:r>
            <w:r w:rsidR="00980743">
              <w:rPr>
                <w:noProof/>
                <w:webHidden/>
              </w:rPr>
              <w:t>16</w:t>
            </w:r>
            <w:r w:rsidR="00980743">
              <w:rPr>
                <w:noProof/>
                <w:webHidden/>
              </w:rPr>
              <w:fldChar w:fldCharType="end"/>
            </w:r>
          </w:hyperlink>
        </w:p>
        <w:p w:rsidR="00980743" w:rsidRDefault="000B6BC3">
          <w:pPr>
            <w:pStyle w:val="TOC1"/>
            <w:rPr>
              <w:b w:val="0"/>
              <w:noProof/>
              <w:color w:val="auto"/>
              <w:sz w:val="22"/>
              <w:lang w:eastAsia="en-AU"/>
            </w:rPr>
          </w:pPr>
          <w:hyperlink w:anchor="_Toc140834172" w:history="1">
            <w:r w:rsidR="00980743" w:rsidRPr="00235426">
              <w:rPr>
                <w:rStyle w:val="Hyperlink"/>
                <w:noProof/>
              </w:rPr>
              <w:t>Reference list</w:t>
            </w:r>
            <w:r w:rsidR="00980743">
              <w:rPr>
                <w:noProof/>
                <w:webHidden/>
              </w:rPr>
              <w:tab/>
            </w:r>
            <w:r w:rsidR="00980743">
              <w:rPr>
                <w:noProof/>
                <w:webHidden/>
              </w:rPr>
              <w:fldChar w:fldCharType="begin"/>
            </w:r>
            <w:r w:rsidR="00980743">
              <w:rPr>
                <w:noProof/>
                <w:webHidden/>
              </w:rPr>
              <w:instrText xml:space="preserve"> PAGEREF _Toc140834172 \h </w:instrText>
            </w:r>
            <w:r w:rsidR="00980743">
              <w:rPr>
                <w:noProof/>
                <w:webHidden/>
              </w:rPr>
            </w:r>
            <w:r w:rsidR="00980743">
              <w:rPr>
                <w:noProof/>
                <w:webHidden/>
              </w:rPr>
              <w:fldChar w:fldCharType="separate"/>
            </w:r>
            <w:r w:rsidR="00980743">
              <w:rPr>
                <w:noProof/>
                <w:webHidden/>
              </w:rPr>
              <w:t>18</w:t>
            </w:r>
            <w:r w:rsidR="00980743">
              <w:rPr>
                <w:noProof/>
                <w:webHidden/>
              </w:rPr>
              <w:fldChar w:fldCharType="end"/>
            </w:r>
          </w:hyperlink>
        </w:p>
        <w:p w:rsidR="001D0D30" w:rsidRDefault="001D0D30">
          <w:r>
            <w:rPr>
              <w:b/>
            </w:rPr>
            <w:fldChar w:fldCharType="end"/>
          </w:r>
        </w:p>
      </w:sdtContent>
    </w:sdt>
    <w:p w:rsidR="001D0D30" w:rsidRDefault="001D0D30" w:rsidP="0067266C"/>
    <w:p w:rsidR="001D0D30" w:rsidRDefault="001D0D30">
      <w:pPr>
        <w:spacing w:after="160" w:line="259" w:lineRule="auto"/>
      </w:pPr>
      <w:r>
        <w:br w:type="page"/>
      </w:r>
    </w:p>
    <w:p w:rsidR="0053346A" w:rsidRDefault="0011623B" w:rsidP="00E84510">
      <w:pPr>
        <w:pStyle w:val="Heading1"/>
      </w:pPr>
      <w:bookmarkStart w:id="2" w:name="_Toc140834159"/>
      <w:r>
        <w:lastRenderedPageBreak/>
        <w:t>Introduction</w:t>
      </w:r>
      <w:bookmarkEnd w:id="2"/>
    </w:p>
    <w:p w:rsidR="00D5585A" w:rsidRDefault="00D5585A" w:rsidP="00980743">
      <w:pPr>
        <w:spacing w:line="259" w:lineRule="auto"/>
      </w:pPr>
    </w:p>
    <w:p w:rsidR="0053346A" w:rsidRPr="00040BDE" w:rsidRDefault="00725A23" w:rsidP="00980743">
      <w:pPr>
        <w:spacing w:line="259" w:lineRule="auto"/>
      </w:pPr>
      <w:r w:rsidRPr="00040BDE">
        <w:t xml:space="preserve">Thank you for your </w:t>
      </w:r>
      <w:r w:rsidR="0053346A" w:rsidRPr="00040BDE">
        <w:t xml:space="preserve">interest and </w:t>
      </w:r>
      <w:r w:rsidRPr="00040BDE">
        <w:t>participation in the</w:t>
      </w:r>
      <w:r w:rsidR="00135167" w:rsidRPr="00040BDE">
        <w:t xml:space="preserve"> </w:t>
      </w:r>
      <w:r w:rsidR="000E71C7" w:rsidRPr="00040BDE">
        <w:t>workshop</w:t>
      </w:r>
      <w:r w:rsidR="00E576A6" w:rsidRPr="00040BDE">
        <w:t xml:space="preserve"> exploring</w:t>
      </w:r>
      <w:r w:rsidR="00135167" w:rsidRPr="00040BDE">
        <w:t xml:space="preserve"> </w:t>
      </w:r>
      <w:r w:rsidR="009C495B" w:rsidRPr="00040BDE">
        <w:t xml:space="preserve">ideas </w:t>
      </w:r>
      <w:r w:rsidR="00135167" w:rsidRPr="00040BDE">
        <w:t xml:space="preserve">for strengthening </w:t>
      </w:r>
      <w:r w:rsidR="00E576A6" w:rsidRPr="00040BDE">
        <w:t xml:space="preserve">collaboration between the </w:t>
      </w:r>
      <w:r w:rsidR="00135167" w:rsidRPr="00040BDE">
        <w:t>A</w:t>
      </w:r>
      <w:r w:rsidR="00E576A6" w:rsidRPr="00040BDE">
        <w:t xml:space="preserve">ustralian </w:t>
      </w:r>
      <w:r w:rsidR="00135167" w:rsidRPr="00040BDE">
        <w:t>P</w:t>
      </w:r>
      <w:r w:rsidR="00E576A6" w:rsidRPr="00040BDE">
        <w:t xml:space="preserve">ublic </w:t>
      </w:r>
      <w:r w:rsidR="00135167" w:rsidRPr="00040BDE">
        <w:t>S</w:t>
      </w:r>
      <w:r w:rsidR="00E576A6" w:rsidRPr="00040BDE">
        <w:t>ervice (APS) and a</w:t>
      </w:r>
      <w:r w:rsidR="00F60147" w:rsidRPr="00040BDE">
        <w:t>cademia</w:t>
      </w:r>
      <w:r w:rsidR="00135167" w:rsidRPr="00040BDE">
        <w:t xml:space="preserve"> on 28 July.</w:t>
      </w:r>
      <w:r w:rsidR="008A7979" w:rsidRPr="00040BDE">
        <w:t xml:space="preserve"> </w:t>
      </w:r>
      <w:r w:rsidR="0053346A" w:rsidRPr="00040BDE">
        <w:t xml:space="preserve">This workshop is part of a broader push towards </w:t>
      </w:r>
      <w:r w:rsidR="00937A52" w:rsidRPr="00040BDE">
        <w:t>better partnerships in the APS.</w:t>
      </w:r>
    </w:p>
    <w:p w:rsidR="00C71F32" w:rsidRPr="00040BDE" w:rsidRDefault="00937A52" w:rsidP="00980743">
      <w:pPr>
        <w:spacing w:line="259" w:lineRule="auto"/>
      </w:pPr>
      <w:r w:rsidRPr="00040BDE">
        <w:t>You have been invited to participate thanks to your expertise and experience on collaboration between the APS and academia. As I’m sure you’re aware, this is not the first time public servants and academics have convened to discuss how better to work together to solve co</w:t>
      </w:r>
      <w:r w:rsidR="00FF31D3" w:rsidRPr="00040BDE">
        <w:t>mplex public policy challenges.</w:t>
      </w:r>
    </w:p>
    <w:p w:rsidR="002D4EA7" w:rsidRPr="00040BDE" w:rsidRDefault="002D4EA7" w:rsidP="002D4EA7">
      <w:r w:rsidRPr="00040BDE">
        <w:t>W</w:t>
      </w:r>
      <w:r w:rsidR="00937A52" w:rsidRPr="00040BDE">
        <w:t xml:space="preserve">ith a view to focusing the workshop’s discussion on solution-oriented outcomes, </w:t>
      </w:r>
      <w:r w:rsidRPr="00040BDE">
        <w:t xml:space="preserve">the Department of the Prime Minister and Cabinet has commissioned an academic to help consolidate the excellent thinking that has already been done around collaboration, both in the public and academic sector. This discussion paper, written by Dr Sarah Ball, serves as a foundation for upcoming workshop discussions. It delves </w:t>
      </w:r>
      <w:r w:rsidR="00BB2EA7" w:rsidRPr="00040BDE">
        <w:t xml:space="preserve">into </w:t>
      </w:r>
      <w:r w:rsidRPr="00040BDE">
        <w:t>existing ideas about collaboration and proposes new potential innovations based on past experiences.</w:t>
      </w:r>
    </w:p>
    <w:p w:rsidR="00FF31D3" w:rsidRPr="00040BDE" w:rsidRDefault="00FF31D3" w:rsidP="00FF31D3">
      <w:pPr>
        <w:spacing w:line="259" w:lineRule="auto"/>
      </w:pPr>
      <w:r w:rsidRPr="00040BDE">
        <w:t xml:space="preserve">Although we are eager for progress, the APS has not made a commitment to implementing any of these ideas, nor do they represent a shortlist for such purposes. The range of ideas is intended to facilitate an exploratory discussion which unpacks the advantages and disadvantages of possible mechanisms in a collaborative environment.  </w:t>
      </w:r>
    </w:p>
    <w:p w:rsidR="00FF31D3" w:rsidRPr="00040BDE" w:rsidRDefault="00FF31D3" w:rsidP="00980743">
      <w:pPr>
        <w:spacing w:line="259" w:lineRule="auto"/>
      </w:pPr>
      <w:r w:rsidRPr="00040BDE">
        <w:t>We are grateful to Dr Sarah Ball for collating the contents of this paper, and to Professor Ariadne Vromen, who is facilitating the workshop</w:t>
      </w:r>
      <w:r w:rsidR="00590E1B" w:rsidRPr="00040BDE">
        <w:t>,</w:t>
      </w:r>
      <w:r w:rsidRPr="00040BDE">
        <w:t xml:space="preserve"> for providing oversight</w:t>
      </w:r>
      <w:r w:rsidR="00590E1B" w:rsidRPr="00040BDE">
        <w:t xml:space="preserve"> on its drafting</w:t>
      </w:r>
      <w:r w:rsidRPr="00040BDE">
        <w:t xml:space="preserve">. </w:t>
      </w:r>
    </w:p>
    <w:p w:rsidR="00127916" w:rsidRPr="00040BDE" w:rsidRDefault="00127916" w:rsidP="00980743">
      <w:pPr>
        <w:spacing w:line="259" w:lineRule="auto"/>
      </w:pPr>
    </w:p>
    <w:p w:rsidR="001434DA" w:rsidRPr="00040BDE" w:rsidRDefault="001434DA" w:rsidP="001434DA">
      <w:pPr>
        <w:pStyle w:val="Heading2"/>
      </w:pPr>
      <w:bookmarkStart w:id="3" w:name="_Toc140834160"/>
      <w:r w:rsidRPr="00040BDE">
        <w:t>What do you need to do?</w:t>
      </w:r>
      <w:bookmarkEnd w:id="3"/>
    </w:p>
    <w:p w:rsidR="0011623B" w:rsidRPr="00040BDE" w:rsidRDefault="001434DA" w:rsidP="00E84510">
      <w:pPr>
        <w:spacing w:line="259" w:lineRule="auto"/>
      </w:pPr>
      <w:r w:rsidRPr="00040BDE">
        <w:t>Please read through this discussion paper as a basis for the ideas to be work</w:t>
      </w:r>
      <w:r w:rsidR="00590E1B" w:rsidRPr="00040BDE">
        <w:t>ed</w:t>
      </w:r>
      <w:r w:rsidRPr="00040BDE">
        <w:t xml:space="preserve"> through on the day. During the workshop, you will be invited to share your reflections on the possible collaboration innovations and you will be welcomed to propose alternative mechanisms worth exploring. Your thinking will help inform the development of an</w:t>
      </w:r>
      <w:r w:rsidR="00F85BF2" w:rsidRPr="00040BDE">
        <w:t xml:space="preserve"> </w:t>
      </w:r>
      <w:r w:rsidR="002D4EA7" w:rsidRPr="00040BDE">
        <w:t>o</w:t>
      </w:r>
      <w:r w:rsidR="00F85BF2" w:rsidRPr="00040BDE">
        <w:t xml:space="preserve">utcomes </w:t>
      </w:r>
      <w:r w:rsidR="002D4EA7" w:rsidRPr="00040BDE">
        <w:t>r</w:t>
      </w:r>
      <w:r w:rsidR="00F85BF2" w:rsidRPr="00040BDE">
        <w:t>eport and ongoing work on this topic in the APS.</w:t>
      </w:r>
    </w:p>
    <w:p w:rsidR="0011623B" w:rsidRPr="00040BDE" w:rsidRDefault="0011623B" w:rsidP="00E84510">
      <w:pPr>
        <w:spacing w:line="259" w:lineRule="auto"/>
      </w:pPr>
    </w:p>
    <w:p w:rsidR="0011623B" w:rsidRPr="00040BDE" w:rsidRDefault="0011623B" w:rsidP="00E84510">
      <w:pPr>
        <w:spacing w:line="259" w:lineRule="auto"/>
      </w:pPr>
    </w:p>
    <w:p w:rsidR="0053346A" w:rsidRPr="00040BDE" w:rsidRDefault="0053346A" w:rsidP="00980743">
      <w:pPr>
        <w:spacing w:line="259" w:lineRule="auto"/>
        <w:jc w:val="right"/>
      </w:pPr>
      <w:r w:rsidRPr="00040BDE">
        <w:t>Dr Rachel Bacon, Deputy Secretary</w:t>
      </w:r>
    </w:p>
    <w:p w:rsidR="00F85BF2" w:rsidRDefault="0053346A" w:rsidP="00980743">
      <w:pPr>
        <w:spacing w:after="160" w:line="259" w:lineRule="auto"/>
        <w:jc w:val="right"/>
        <w:rPr>
          <w:rFonts w:ascii="Georgia" w:eastAsia="SimHei" w:hAnsi="Georgia" w:cs="Times New Roman"/>
          <w:b/>
          <w:color w:val="094183"/>
          <w:sz w:val="32"/>
          <w:szCs w:val="32"/>
          <w:lang w:eastAsia="en-US"/>
        </w:rPr>
      </w:pPr>
      <w:r w:rsidRPr="00040BDE">
        <w:t>APS Reform</w:t>
      </w:r>
      <w:r>
        <w:t xml:space="preserve"> </w:t>
      </w:r>
      <w:r w:rsidR="00F85BF2">
        <w:br w:type="page"/>
      </w:r>
    </w:p>
    <w:p w:rsidR="0011623B" w:rsidRDefault="00590E1B" w:rsidP="00980743">
      <w:pPr>
        <w:pStyle w:val="Heading1"/>
      </w:pPr>
      <w:bookmarkStart w:id="4" w:name="_Toc140834161"/>
      <w:r>
        <w:t>Context</w:t>
      </w:r>
      <w:bookmarkEnd w:id="4"/>
    </w:p>
    <w:p w:rsidR="0011623B" w:rsidRPr="00040BDE" w:rsidRDefault="0011623B" w:rsidP="0011623B">
      <w:pPr>
        <w:spacing w:line="276" w:lineRule="auto"/>
      </w:pPr>
      <w:r w:rsidRPr="00040BDE">
        <w:t xml:space="preserve">As it currently stands, the roles of academia and the public service serve different purposes. Academia aims primarily to generate and disseminate knowledge through education and research, while the public service serves the government of the day, assists in developing its policy agenda and delivers services to the public. </w:t>
      </w:r>
    </w:p>
    <w:p w:rsidR="0011623B" w:rsidRPr="00040BDE" w:rsidRDefault="0011623B" w:rsidP="0011623B">
      <w:pPr>
        <w:spacing w:line="276" w:lineRule="auto"/>
      </w:pPr>
      <w:r w:rsidRPr="00040BDE">
        <w:t xml:space="preserve">These different purposes drive much of the debate around evidence-based policy, with the relationship between the two presented in two key ways. The first sees policy making as inherently political and argues that policy can at best be evidence-informed. Therefore, academics and the public sector need to work collaboratively to produce usable knowledge </w:t>
      </w:r>
      <w:r w:rsidRPr="00040BDE">
        <w:fldChar w:fldCharType="begin"/>
      </w:r>
      <w:r w:rsidRPr="00040BDE">
        <w:instrText xml:space="preserve"> ADDIN ZOTERO_ITEM CSL_CITATION {"citationID":"2H5EQCFX","properties":{"formattedCitation":"(Cairney, 2014, 2017; Head, 2010, 2016; Parkhurst, 2016; Western, 2019)","plainCitation":"(Cairney, 2014, 2017; Head, 2010, 2016; Parkhurst, 2016; Western, 2019)","noteIndex":0},"citationItems":[{"id":3014,"uris":["http://zotero.org/users/11793275/items/2USJINEZ"],"itemData":{"id":3014,"type":"paper-conference","container-title":"Political Studies Association Annual Conference, Manchester. Retrieved November","note":"Citation Key: Cairney2014","page":"2014","title":"Evidence-based policymaking: If you want to inject more science into policymaking you need to know the science of policymaking","volume":"16","author":[{"family":"Cairney","given":"Paul"}],"issued":{"date-parts":[["2014"]]}}},{"id":456,"uris":["http://zotero.org/users/11793275/items/GD9Z2H9R"],"itemData":{"id":456,"type":"article-journal","container-title":"Evidence &amp; Policy: A Journal of Research, Debate and Practice","issue":"3","note":"Citation Key: Cairney2017a","page":"499-515","title":"Evidence-based best practice is more political than it looks: a case study of the'Scottish Approach'","volume":"13","author":[{"family":"Cairney","given":"Paul"}],"issued":{"date-parts":[["2017"]]}}},{"id":687,"uris":["http://zotero.org/users/11793275/items/JNHN83MS"],"itemData":{"id":687,"type":"article-journal","container-title":"Policy and Society","issue":"2","note":"Citation Key: Head2010\nISBN: 1449-4035","page":"77-94","title":"Reconsidering evidence-based policy: Key issues and challenges","volume":"29","author":[{"family":"Head","given":"Brian"}],"issued":{"date-parts":[["2010"]]}}},{"id":203,"uris":["http://zotero.org/users/11793275/items/VFFN3473"],"itemData":{"id":203,"type":"article-journal","abstract":"The quality of public decision making depends significantly on the quality of analysis and advice provided through public organizations. Champions of “evidence-informed” policy making claim that rigorous evaluation practices can significantly improve attainment of cost-effective outcomes. After decades of experience, performance information is more sophisticated, but evaluation practices and capabilities vary enormously. Public agencies gather and process vast amounts of information, but there has been little analysis of how this information is actually utilized for policy and program improvement. This article examines how government agencies use evidence about policy and program effectiveness, with attention to four themes: (1) the prospects for improving “evidence-informed” policy making, (2) the diversity of practices concerning evidence utilization and evaluation across types of public agencies and policy arenas, (3) recent attempts to “institutionalize” evaluation as a core feature of policy development and budget approval, and (4) the relationships between public agencies and nongovernmental sources of expertise.","container-title":"Public Administration Review","DOI":"10.1111/puar.12475","issue":"3","note":"publisher: Wiley Subscription Services, Inc.\nCitation Key: Head2016\nISBN: 1540-6210","page":"472-484","title":"Toward More “Evidence-Informed” Policy Making?","volume":"76","author":[{"family":"Head","given":"Brian"}],"issued":{"date-parts":[["2016"]]}}},{"id":2105,"uris":["http://zotero.org/users/11793275/items/98NFYYLA"],"itemData":{"id":2105,"type":"book","ISBN":"1-138-93940-4","note":"Citation Key: Parkhurst2016","publisher":"Routledge","title":"The politics of evidence: from evidence-based policy to the good governance of evidence","author":[{"family":"Parkhurst","given":"Justin"}],"issued":{"date-parts":[["2016"]]}}},{"id":227,"uris":["http://zotero.org/users/11793275/items/52EZ5CGI"],"itemData":{"id":227,"type":"article-journal","container-title":"Justice Evaluation Journal","issue":"1","note":"Citation Key: Western2019\nISBN: 2475-1979","page":"18-34","title":"How to Increase the Relevance and Use of Social and Behavioral Science: Lessons for Policy-makers, Researchers and Others","volume":"2","author":[{"family":"Western","given":"Mark"}],"issued":{"date-parts":[["2019"]]}}}],"schema":"https://github.com/citation-style-language/schema/raw/master/csl-citation.json"} </w:instrText>
      </w:r>
      <w:r w:rsidRPr="00040BDE">
        <w:fldChar w:fldCharType="separate"/>
      </w:r>
      <w:r w:rsidRPr="00040BDE">
        <w:rPr>
          <w:rFonts w:ascii="Calibri" w:hAnsi="Calibri" w:cs="Calibri"/>
        </w:rPr>
        <w:t>(Cairney, 2014, 2017; Head, 2010, 2016; Parkhurst, 2016; Western, 2019)</w:t>
      </w:r>
      <w:r w:rsidRPr="00040BDE">
        <w:fldChar w:fldCharType="end"/>
      </w:r>
      <w:r w:rsidRPr="00040BDE">
        <w:t xml:space="preserve">. The second focuses more on how academia can more effectively increase the uptake and comprehension of evidence by policy makers </w:t>
      </w:r>
      <w:r w:rsidRPr="00040BDE">
        <w:fldChar w:fldCharType="begin"/>
      </w:r>
      <w:r w:rsidRPr="00040BDE">
        <w:instrText xml:space="preserve"> ADDIN ZOTERO_ITEM CSL_CITATION {"citationID":"oqm2fkkC","properties":{"formattedCitation":"(Boaz et al., 2008; Haskins &amp; Margolis, 2014; Oliver et al., 2014; Stoker &amp; Evans, 2016)","plainCitation":"(Boaz et al., 2008; Haskins &amp; Margolis, 2014; Oliver et al., 2014; Stoker &amp; Evans, 2016)","noteIndex":0},"citationItems":[{"id":52,"uris":["http://zotero.org/users/11793275/items/ZUMQ2E55"],"itemData":{"id":52,"type":"article-journal","container-title":"Evidence &amp; Policy: A Journal of Research, Debate and Practice","issue":"2","note":"Citation Key: Boaz2008\nISBN: 1744-2648","page":"233-253","title":"Does evidence-based policy work? Learning from the UK experience","volume":"4","author":[{"family":"Boaz","given":"Annette"},{"family":"Grayson","given":"Lesley"},{"family":"Levitt","given":"Ruth"},{"family":"Solesbury","given":"William"}],"issued":{"date-parts":[["2008"]]}}},{"id":774,"uris":["http://zotero.org/users/11793275/items/5PUIZKSR"],"itemData":{"id":774,"type":"book","event-place":"Washington, DC","ISBN":"0-8157-2570-1","note":"Citation Key: Haskins2014","publisher":"Brookings Institution Press","publisher-place":"Washington, DC","title":"Show me the evidence: Obama's fight for rigor and results in social policy","author":[{"family":"Haskins","given":"Ron"},{"family":"Margolis","given":"Greg"}],"issued":{"date-parts":[["2014"]]}}},{"id":3052,"uris":["http://zotero.org/users/11793275/items/5HFX3NLL"],"itemData":{"id":3052,"type":"article-journal","abstract":"To identify new barriers of and facilitators to the use of evidence by policymakers, and assess the state of research in this area, we updated a systematic review. Studies were included if they were primary research or systematic reviews about factors affecting the use of evidence in policy. Studies were coded to extract data on methods, topic, focus, results and population.  145 new studies were identified, of which over half were published after 2010. Thirteen systematic reviews were included. Compared with the original review, a much wider range of policy topics was found. Although still primarily in the health field, studies were also drawn from criminal justice, traffic policy, drug policy, and partnership working. The most frequently reported barriers to evidence uptake were poor access to good quality relevant research, and lack of timely research output. The most frequently reported facilitators were collaboration between researchers and policymakers, and improved relationships and skills. There is an increasing amount of research into new models of knowledge transfer, and evaluations of interventions such as knowledge brokerage.","container-title":"BMC health services research","issue":"1","note":"Citation Key: Oliver2014\nISBN: 1472-6963","page":"2","title":"A systematic review of barriers to and facilitators of the use of evidence by policymakers","volume":"14","author":[{"family":"Oliver","given":"Kathryn"},{"family":"Innvar","given":"Simon"},{"family":"Lorenc","given":"Theo"},{"family":"Woodman","given":"Jenny"},{"family":"Thomas","given":"James"}],"issued":{"date-parts":[["2014"]]}}},{"id":2816,"uris":["http://zotero.org/users/11793275/items/G2VMENYL"],"itemData":{"id":2816,"type":"book","abstract":"This valuable book offers a distinct and critical showcase of emerging forms of discovery for policy-making drawing on the insights of some of the world’s leading authorities in public policy analysis..","event-place":"POL017000","note":"DOI: 10.1332/policypress/9781447329367.001.0001\nCitation Key: Stoker2016","publisher":"POL017000: Policy Press","publisher-place":"POL017000","title":"Evidence-based policy making in the social sciences : Methods that matter","author":[{"family":"Stoker","given":"Gerry"},{"family":"Evans","given":"Mark"}],"issued":{"date-parts":[["2016"]]}}}],"schema":"https://github.com/citation-style-language/schema/raw/master/csl-citation.json"} </w:instrText>
      </w:r>
      <w:r w:rsidRPr="00040BDE">
        <w:fldChar w:fldCharType="separate"/>
      </w:r>
      <w:r w:rsidRPr="00040BDE">
        <w:rPr>
          <w:rFonts w:ascii="Calibri" w:hAnsi="Calibri" w:cs="Calibri"/>
        </w:rPr>
        <w:t>(Boaz et al., 2008; Haskins &amp; Margolis, 2014; Oliver et al., 2014; Stoker &amp; Evans, 2016)</w:t>
      </w:r>
      <w:r w:rsidRPr="00040BDE">
        <w:fldChar w:fldCharType="end"/>
      </w:r>
      <w:r w:rsidRPr="00040BDE">
        <w:t>.</w:t>
      </w:r>
    </w:p>
    <w:p w:rsidR="00F60147" w:rsidRPr="00040BDE" w:rsidRDefault="0011623B" w:rsidP="00980743">
      <w:r w:rsidRPr="00040BDE">
        <w:t xml:space="preserve">Research and policy making are distinct, but both sectors can leverage these differences to come together to better address the complex issues that face Australia today. Oliver at al. </w:t>
      </w:r>
      <w:r w:rsidRPr="00040BDE">
        <w:fldChar w:fldCharType="begin"/>
      </w:r>
      <w:r w:rsidRPr="00040BDE">
        <w:instrText xml:space="preserve"> ADDIN ZOTERO_ITEM CSL_CITATION {"citationID":"6yg7Twil","properties":{"formattedCitation":"(2022)","plainCitation":"(2022)","noteIndex":0},"citationItems":[{"id":8604,"uris":["http://zotero.org/users/11793275/items/ZJYQUI97"],"itemData":{"id":8604,"type":"article-journal","abstract":"Background: To improve the use of evidence in policy and practice, many organisations and individuals seek to promote research-policy engagement activities, but little is known about what works. Aims and objectives: We sought (a) to identify existing research-policy engagement activities, and (b) evidence on impacts of these activities on research and decision making. Methods: We conducted systematic desk-based searches for organisations active in this area (such as funders, practice organisations, and universities) and reviewed websites, strategy documents, published evaluations and relevant research. We used a stakeholder roundtable, and follow-up survey and interviews, with a subset of the sample to check the quality and robustness of our approach. Findings: We identified 1923 initiatives in 513 organisations world-wide. However, we found only 57 organisations had publicly-available evaluations, and only 6% (141/2321) of initiatives were evaluated. Most activities aim to improve research dissemination or create relationships. Existing evaluations offer an often rich and nuanced picture of evidence use in particular settings (such as local government), sectors (such as policing), or by particular providers (such as learned societies), but are extremely scarce. Discussion and conclusions: Funders, research- and decision-making organisations have contributed to a huge expansion in research-policy engagement initiatives. Unfortunately, these initiatives tend not to draw on existing evidence and theory, and are mostly unevaluated. The rudderless mass of activity therefore fails to provide useful lessons for those wishing to improve evidence use, leading to wasted time and resources. Future initiatives should draw on existing evidence about what works, seek to contribute to this evidence base, and respond to a more realistic picture of the decision-making context.","container-title":"Evidence &amp; Policy","DOI":"10.1332/174426421X16420918447616","ISSN":"1744-2648, 1744-2656","issue":"4","language":"en","note":"publisher: Policy Press\nsection: Evidence &amp; Policy","page":"691-713","source":"bristoluniversitypressdigital.com","title":"What works to promote research-policy engagement?","volume":"18","author":[{"family":"Oliver","given":"Kathryn"},{"family":"Hopkins","given":"Anna"},{"family":"Boaz","given":"Annette"},{"family":"Guillot-Wright","given":"Shannon"},{"family":"Cairney","given":"Paul"}],"issued":{"date-parts":[["2022",11,1]]}},"label":"page","suppress-author":true}],"schema":"https://github.com/citation-style-language/schema/raw/master/csl-citation.json"} </w:instrText>
      </w:r>
      <w:r w:rsidRPr="00040BDE">
        <w:fldChar w:fldCharType="separate"/>
      </w:r>
      <w:r w:rsidRPr="00040BDE">
        <w:rPr>
          <w:rFonts w:ascii="Calibri" w:hAnsi="Calibri" w:cs="Calibri"/>
        </w:rPr>
        <w:t>(2022)</w:t>
      </w:r>
      <w:r w:rsidRPr="00040BDE">
        <w:fldChar w:fldCharType="end"/>
      </w:r>
      <w:r w:rsidRPr="00040BDE">
        <w:t xml:space="preserve"> notes that most of the support and research to date tends to focus on dissemination of research or facilitating relationship building. While these elements will also be an important part of future partnerships developed between the APS and academia, more is needed to facilitate collaboration between the sectors. Oliver at al. (2022) state that “[m]ost initiatives appear to address the assumption that decision makers do not listen to evidence, which is still widely held despite increasing evidence to the contrary” (p702). This paper will go beyond these assumptions to explore how academia and the public service can work together.</w:t>
      </w:r>
    </w:p>
    <w:p w:rsidR="00EF529A" w:rsidRPr="00040BDE" w:rsidRDefault="00DD34FB" w:rsidP="00E84510">
      <w:pPr>
        <w:spacing w:line="276" w:lineRule="auto"/>
      </w:pPr>
      <w:r w:rsidRPr="00040BDE">
        <w:t>Finding effective way</w:t>
      </w:r>
      <w:r w:rsidR="00103369" w:rsidRPr="00040BDE">
        <w:t>s of articulating the</w:t>
      </w:r>
      <w:r w:rsidRPr="00040BDE">
        <w:t xml:space="preserve"> aims </w:t>
      </w:r>
      <w:r w:rsidR="00103369" w:rsidRPr="00040BDE">
        <w:t xml:space="preserve">of collaboration </w:t>
      </w:r>
      <w:r w:rsidRPr="00040BDE">
        <w:t>and developing prod</w:t>
      </w:r>
      <w:r w:rsidR="00103369" w:rsidRPr="00040BDE">
        <w:t>uctive working relationships are</w:t>
      </w:r>
      <w:r w:rsidRPr="00040BDE">
        <w:t xml:space="preserve"> key goal</w:t>
      </w:r>
      <w:r w:rsidR="00103369" w:rsidRPr="00040BDE">
        <w:t>s</w:t>
      </w:r>
      <w:r w:rsidRPr="00040BDE">
        <w:t xml:space="preserve"> for this workshop. </w:t>
      </w:r>
      <w:r w:rsidR="00EF529A" w:rsidRPr="00040BDE">
        <w:t xml:space="preserve">A key step in achieving this is breaking down the process into discrete steps and articulating the aims and markers of success for each. </w:t>
      </w:r>
    </w:p>
    <w:p w:rsidR="002701F1" w:rsidRDefault="00375595" w:rsidP="00E84510">
      <w:r w:rsidRPr="00040BDE">
        <w:t>The stages identified are discovery, design, delivery</w:t>
      </w:r>
      <w:r w:rsidR="0085498E" w:rsidRPr="00040BDE">
        <w:t>,</w:t>
      </w:r>
      <w:r w:rsidRPr="00040BDE">
        <w:t xml:space="preserve"> and review. Each stage </w:t>
      </w:r>
      <w:r w:rsidR="0094325C" w:rsidRPr="00040BDE">
        <w:t>outlines some</w:t>
      </w:r>
      <w:r w:rsidRPr="00040BDE">
        <w:t xml:space="preserve"> proposed mechanisms for discussion.</w:t>
      </w:r>
      <w:r>
        <w:t xml:space="preserve"> </w:t>
      </w:r>
    </w:p>
    <w:p w:rsidR="00C81D9B" w:rsidRDefault="007E7288" w:rsidP="00E84510">
      <w:pPr>
        <w:spacing w:after="160" w:line="259" w:lineRule="auto"/>
      </w:pPr>
      <w:r>
        <w:rPr>
          <w:noProof/>
          <w:lang w:eastAsia="en-AU"/>
        </w:rPr>
        <w:drawing>
          <wp:inline distT="0" distB="0" distL="0" distR="0" wp14:anchorId="2183C9B1" wp14:editId="57DD4704">
            <wp:extent cx="6120130" cy="3442335"/>
            <wp:effectExtent l="0" t="0" r="0" b="5715"/>
            <wp:docPr id="1208061892" name="Picture 1208061892" descr="A picture containing text, screenshot, fon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61892" name="Picture 6" descr="A picture containing text, screenshot, font,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rsidR="00C81D9B" w:rsidRDefault="00C81D9B" w:rsidP="00E84510">
      <w:pPr>
        <w:spacing w:after="160" w:line="259" w:lineRule="auto"/>
      </w:pPr>
    </w:p>
    <w:p w:rsidR="0039330F" w:rsidRDefault="0039330F" w:rsidP="00E84510">
      <w:pPr>
        <w:spacing w:after="160" w:line="259" w:lineRule="auto"/>
      </w:pPr>
    </w:p>
    <w:p w:rsidR="0011623B" w:rsidRDefault="0039330F" w:rsidP="00E84510">
      <w:pPr>
        <w:spacing w:after="160" w:line="259" w:lineRule="auto"/>
      </w:pPr>
      <w:r>
        <w:t xml:space="preserve">A detailed </w:t>
      </w:r>
      <w:r w:rsidR="0094325C">
        <w:t>background on</w:t>
      </w:r>
      <w:r w:rsidR="00CD6999">
        <w:t xml:space="preserve"> these stages </w:t>
      </w:r>
      <w:r>
        <w:t xml:space="preserve">is provided at </w:t>
      </w:r>
      <w:r w:rsidRPr="0039330F">
        <w:rPr>
          <w:b/>
          <w:bCs/>
        </w:rPr>
        <w:t xml:space="preserve">Appendix A: </w:t>
      </w:r>
      <w:r w:rsidR="0094325C">
        <w:rPr>
          <w:b/>
          <w:bCs/>
        </w:rPr>
        <w:t>Further</w:t>
      </w:r>
      <w:r w:rsidRPr="0039330F">
        <w:rPr>
          <w:b/>
          <w:bCs/>
        </w:rPr>
        <w:t xml:space="preserve"> reading</w:t>
      </w:r>
      <w:r w:rsidR="0094325C">
        <w:rPr>
          <w:b/>
          <w:bCs/>
        </w:rPr>
        <w:t xml:space="preserve"> and research</w:t>
      </w:r>
      <w:r>
        <w:t>.</w:t>
      </w:r>
    </w:p>
    <w:p w:rsidR="0085498E" w:rsidRPr="00040BDE" w:rsidRDefault="00CD6999" w:rsidP="00E84510">
      <w:pPr>
        <w:spacing w:after="160" w:line="259" w:lineRule="auto"/>
      </w:pPr>
      <w:r>
        <w:t>T</w:t>
      </w:r>
      <w:r w:rsidR="00D2223F">
        <w:t xml:space="preserve">he focus </w:t>
      </w:r>
      <w:r w:rsidR="00221BAC">
        <w:t xml:space="preserve">of this workshop is </w:t>
      </w:r>
      <w:r w:rsidR="00D2223F">
        <w:t xml:space="preserve">on collaborative projects, rather than research translation. </w:t>
      </w:r>
      <w:r w:rsidR="003267C7">
        <w:t xml:space="preserve">This work is intended to focus predominantly on how the two groups can work more closely and collaboratively in the design and delivery of </w:t>
      </w:r>
      <w:r w:rsidR="00221BAC">
        <w:t>evidence</w:t>
      </w:r>
      <w:r w:rsidR="003267C7">
        <w:t>-</w:t>
      </w:r>
      <w:r w:rsidR="003267C7" w:rsidRPr="00040BDE">
        <w:t>informed policy</w:t>
      </w:r>
      <w:r w:rsidR="00FB2357" w:rsidRPr="00040BDE">
        <w:t>.</w:t>
      </w:r>
      <w:r w:rsidR="002E397B" w:rsidRPr="00040BDE">
        <w:t xml:space="preserve"> T</w:t>
      </w:r>
      <w:r w:rsidR="00403019" w:rsidRPr="00040BDE">
        <w:t>ranslating research into policy after it has been delivered is also critical work</w:t>
      </w:r>
      <w:r w:rsidR="002E397B" w:rsidRPr="00040BDE">
        <w:t xml:space="preserve"> but</w:t>
      </w:r>
      <w:r w:rsidR="00403019" w:rsidRPr="00040BDE">
        <w:t xml:space="preserve"> will not be the focus of th</w:t>
      </w:r>
      <w:r w:rsidR="0045549C" w:rsidRPr="00040BDE">
        <w:t>i</w:t>
      </w:r>
      <w:r w:rsidR="00403019" w:rsidRPr="00040BDE">
        <w:t>s workshop.</w:t>
      </w:r>
    </w:p>
    <w:p w:rsidR="00127668" w:rsidRPr="0015697F" w:rsidRDefault="00F8157B" w:rsidP="00980743">
      <w:pPr>
        <w:spacing w:after="160" w:line="259" w:lineRule="auto"/>
        <w:jc w:val="both"/>
      </w:pPr>
      <w:r w:rsidRPr="00040BDE">
        <w:t xml:space="preserve">This workshop will also build upon a similar process which was undertaken in 2013. Two half-day workshops were hosted by the Department of the Prime Minister and Cabinet with the intention of facilitating better linkages between the Australian Public Service (APS), and the broader research community. This event was held at the Australian National University and attended by more than 70 people from across the APS, universities and think tanks. A number of ideas were designed for further development during these workshops and some of these are highlighted for revisiting under the proposed mechanisms for discussion at this workshop. It will be particularly useful to consider what the limitations were when implementing these ideas in the years following the workshop in 2013. </w:t>
      </w:r>
      <w:r w:rsidR="008171EC" w:rsidRPr="00040BDE">
        <w:t xml:space="preserve">A summary of 2013 workshop is at </w:t>
      </w:r>
      <w:r w:rsidR="008171EC" w:rsidRPr="00040BDE">
        <w:rPr>
          <w:b/>
        </w:rPr>
        <w:t xml:space="preserve">Attachment </w:t>
      </w:r>
      <w:r w:rsidR="00590E1B" w:rsidRPr="00040BDE">
        <w:rPr>
          <w:b/>
        </w:rPr>
        <w:t>B</w:t>
      </w:r>
      <w:r w:rsidR="008171EC" w:rsidRPr="00040BDE">
        <w:rPr>
          <w:b/>
        </w:rPr>
        <w:t>.</w:t>
      </w:r>
    </w:p>
    <w:p w:rsidR="00986EBE" w:rsidRDefault="00986EBE">
      <w:pPr>
        <w:spacing w:after="160" w:line="259" w:lineRule="auto"/>
        <w:rPr>
          <w:rFonts w:ascii="Georgia" w:eastAsia="SimHei" w:hAnsi="Georgia" w:cs="Times New Roman"/>
          <w:b/>
          <w:color w:val="094183"/>
          <w:sz w:val="32"/>
          <w:szCs w:val="32"/>
          <w:lang w:eastAsia="en-US"/>
        </w:rPr>
      </w:pPr>
      <w:r>
        <w:br w:type="page"/>
      </w:r>
    </w:p>
    <w:p w:rsidR="00980743" w:rsidRPr="00980743" w:rsidRDefault="00EF41DF" w:rsidP="00980743">
      <w:pPr>
        <w:pStyle w:val="Heading1"/>
      </w:pPr>
      <w:bookmarkStart w:id="5" w:name="_Toc140834162"/>
      <w:r w:rsidRPr="00040BDE">
        <w:t>Possible</w:t>
      </w:r>
      <w:r w:rsidR="00590E1B" w:rsidRPr="00040BDE">
        <w:t xml:space="preserve"> c</w:t>
      </w:r>
      <w:r w:rsidR="00A42D84" w:rsidRPr="00040BDE">
        <w:t>ollaboration mechanisms and innovations</w:t>
      </w:r>
      <w:bookmarkEnd w:id="5"/>
      <w:r w:rsidR="00A42D84">
        <w:t xml:space="preserve"> </w:t>
      </w:r>
    </w:p>
    <w:p w:rsidR="00C81D9B" w:rsidRPr="008C233A" w:rsidRDefault="00BA46D1" w:rsidP="00E84510">
      <w:pPr>
        <w:pStyle w:val="Heading2"/>
        <w:rPr>
          <w:sz w:val="28"/>
        </w:rPr>
      </w:pPr>
      <w:bookmarkStart w:id="6" w:name="_Toc140834163"/>
      <w:r w:rsidRPr="008C233A">
        <w:rPr>
          <w:sz w:val="28"/>
        </w:rPr>
        <w:t>Discovery</w:t>
      </w:r>
      <w:bookmarkEnd w:id="6"/>
    </w:p>
    <w:p w:rsidR="00002708" w:rsidRDefault="00941935" w:rsidP="00E84510">
      <w:pPr>
        <w:spacing w:line="276" w:lineRule="auto"/>
      </w:pPr>
      <w:r w:rsidRPr="00941935" w:rsidDel="00A42D84">
        <w:rPr>
          <w:lang w:eastAsia="en-US"/>
        </w:rPr>
        <w:t xml:space="preserve">This stage explores how researchers and policy makers learn about shared interests, get to know each other, and begin to explore potential opportunities for collaboration. This is the stage which has attracted the majority of research interest to date, but </w:t>
      </w:r>
      <w:r w:rsidR="002E397B">
        <w:rPr>
          <w:lang w:eastAsia="en-US"/>
        </w:rPr>
        <w:t>is</w:t>
      </w:r>
      <w:r w:rsidRPr="00941935" w:rsidDel="00A42D84">
        <w:rPr>
          <w:lang w:eastAsia="en-US"/>
        </w:rPr>
        <w:t xml:space="preserve"> only the first step towards successful collaboration.</w:t>
      </w:r>
      <w:r w:rsidR="00BF78E0" w:rsidDel="00A42D84">
        <w:rPr>
          <w:lang w:eastAsia="en-US"/>
        </w:rPr>
        <w:t xml:space="preserve"> </w:t>
      </w:r>
      <w:r w:rsidR="00002708" w:rsidDel="00A42D84">
        <w:t xml:space="preserve">For more detail see </w:t>
      </w:r>
      <w:r w:rsidR="00002708" w:rsidRPr="0039330F" w:rsidDel="00A42D84">
        <w:rPr>
          <w:b/>
          <w:bCs/>
        </w:rPr>
        <w:t xml:space="preserve">Appendix A: </w:t>
      </w:r>
      <w:r w:rsidR="00002708" w:rsidDel="00A42D84">
        <w:rPr>
          <w:b/>
          <w:bCs/>
        </w:rPr>
        <w:t>Further</w:t>
      </w:r>
      <w:r w:rsidR="00002708" w:rsidRPr="0039330F" w:rsidDel="00A42D84">
        <w:rPr>
          <w:b/>
          <w:bCs/>
        </w:rPr>
        <w:t xml:space="preserve"> reading</w:t>
      </w:r>
      <w:r w:rsidR="00002708" w:rsidDel="00A42D84">
        <w:rPr>
          <w:b/>
          <w:bCs/>
        </w:rPr>
        <w:t xml:space="preserve"> and research</w:t>
      </w:r>
      <w:r w:rsidR="00002708" w:rsidDel="00A42D84">
        <w:t>.</w:t>
      </w:r>
    </w:p>
    <w:p w:rsidR="00BA46D1" w:rsidDel="00A42D84" w:rsidRDefault="00BA46D1" w:rsidP="00E84510">
      <w:pPr>
        <w:spacing w:line="276" w:lineRule="auto"/>
      </w:pPr>
    </w:p>
    <w:p w:rsidR="0061355B" w:rsidRPr="0061355B" w:rsidRDefault="0061355B" w:rsidP="00E84510">
      <w:pPr>
        <w:pStyle w:val="Heading3"/>
      </w:pPr>
      <w:r>
        <w:t>Collaborative Portal</w:t>
      </w:r>
    </w:p>
    <w:p w:rsidR="00374FE2" w:rsidRDefault="00374FE2" w:rsidP="00E84510">
      <w:pPr>
        <w:rPr>
          <w:lang w:eastAsia="en-US"/>
        </w:rPr>
      </w:pPr>
      <w:r>
        <w:rPr>
          <w:lang w:eastAsia="en-US"/>
        </w:rPr>
        <w:t xml:space="preserve">This suggestion builds upon </w:t>
      </w:r>
      <w:r w:rsidR="0061355B">
        <w:rPr>
          <w:lang w:eastAsia="en-US"/>
        </w:rPr>
        <w:t xml:space="preserve">a recommendation </w:t>
      </w:r>
      <w:r w:rsidR="002E397B">
        <w:rPr>
          <w:lang w:eastAsia="en-US"/>
        </w:rPr>
        <w:t xml:space="preserve">from the </w:t>
      </w:r>
      <w:r w:rsidR="0061355B">
        <w:rPr>
          <w:lang w:eastAsia="en-US"/>
        </w:rPr>
        <w:t>2013</w:t>
      </w:r>
      <w:r w:rsidR="002E397B">
        <w:rPr>
          <w:lang w:eastAsia="en-US"/>
        </w:rPr>
        <w:t xml:space="preserve"> workshop,</w:t>
      </w:r>
      <w:r w:rsidR="00CD6999">
        <w:rPr>
          <w:lang w:eastAsia="en-US"/>
        </w:rPr>
        <w:t xml:space="preserve"> </w:t>
      </w:r>
      <w:r w:rsidR="0061355B">
        <w:rPr>
          <w:lang w:eastAsia="en-US"/>
        </w:rPr>
        <w:t xml:space="preserve">which aimed to use the (now decommissioned) ANU Policy Xpress platform. </w:t>
      </w:r>
      <w:r w:rsidR="0061355B" w:rsidRPr="0061355B">
        <w:rPr>
          <w:lang w:eastAsia="en-US"/>
        </w:rPr>
        <w:t xml:space="preserve">The purpose of the portal </w:t>
      </w:r>
      <w:r w:rsidR="0061355B">
        <w:rPr>
          <w:lang w:eastAsia="en-US"/>
        </w:rPr>
        <w:t>would be</w:t>
      </w:r>
      <w:r w:rsidR="0061355B" w:rsidRPr="0061355B">
        <w:rPr>
          <w:lang w:eastAsia="en-US"/>
        </w:rPr>
        <w:t xml:space="preserve"> two-fold. </w:t>
      </w:r>
      <w:r>
        <w:rPr>
          <w:lang w:eastAsia="en-US"/>
        </w:rPr>
        <w:t xml:space="preserve">Firstly, </w:t>
      </w:r>
      <w:r w:rsidRPr="0061355B">
        <w:rPr>
          <w:lang w:eastAsia="en-US"/>
        </w:rPr>
        <w:t xml:space="preserve">to generate a community of academics </w:t>
      </w:r>
      <w:r w:rsidR="004C730A">
        <w:rPr>
          <w:lang w:eastAsia="en-US"/>
        </w:rPr>
        <w:t xml:space="preserve">and </w:t>
      </w:r>
      <w:r w:rsidRPr="0061355B">
        <w:rPr>
          <w:lang w:eastAsia="en-US"/>
        </w:rPr>
        <w:t>policy officers</w:t>
      </w:r>
      <w:r>
        <w:rPr>
          <w:lang w:eastAsia="en-US"/>
        </w:rPr>
        <w:t xml:space="preserve"> who</w:t>
      </w:r>
      <w:r w:rsidRPr="0061355B">
        <w:rPr>
          <w:lang w:eastAsia="en-US"/>
        </w:rPr>
        <w:t xml:space="preserve"> could</w:t>
      </w:r>
      <w:r>
        <w:rPr>
          <w:lang w:eastAsia="en-US"/>
        </w:rPr>
        <w:t xml:space="preserve"> be</w:t>
      </w:r>
      <w:r w:rsidRPr="0061355B">
        <w:rPr>
          <w:lang w:eastAsia="en-US"/>
        </w:rPr>
        <w:t xml:space="preserve"> quickly identif</w:t>
      </w:r>
      <w:r w:rsidR="004C730A">
        <w:rPr>
          <w:lang w:eastAsia="en-US"/>
        </w:rPr>
        <w:t>ied</w:t>
      </w:r>
      <w:r w:rsidRPr="0061355B">
        <w:rPr>
          <w:lang w:eastAsia="en-US"/>
        </w:rPr>
        <w:t xml:space="preserve"> when formulating policy ideas</w:t>
      </w:r>
      <w:r>
        <w:rPr>
          <w:lang w:eastAsia="en-US"/>
        </w:rPr>
        <w:t xml:space="preserve">, by inviting interested academics to </w:t>
      </w:r>
      <w:r w:rsidR="0061355B" w:rsidRPr="0061355B">
        <w:rPr>
          <w:lang w:eastAsia="en-US"/>
        </w:rPr>
        <w:t>nominate interest and their area/s of policy relevance. Secondly, once the portal is established, policy officers could upload policy challenges where they would like academic</w:t>
      </w:r>
      <w:r w:rsidR="001B58EF">
        <w:rPr>
          <w:lang w:eastAsia="en-US"/>
        </w:rPr>
        <w:t xml:space="preserve"> and </w:t>
      </w:r>
      <w:r w:rsidR="0061355B" w:rsidRPr="0061355B">
        <w:rPr>
          <w:lang w:eastAsia="en-US"/>
        </w:rPr>
        <w:t xml:space="preserve">researcher input. </w:t>
      </w:r>
    </w:p>
    <w:p w:rsidR="0061355B" w:rsidRPr="0061355B" w:rsidRDefault="0061355B" w:rsidP="00E84510">
      <w:pPr>
        <w:rPr>
          <w:lang w:eastAsia="en-US"/>
        </w:rPr>
      </w:pPr>
      <w:r w:rsidRPr="0061355B">
        <w:rPr>
          <w:lang w:eastAsia="en-US"/>
        </w:rPr>
        <w:t xml:space="preserve">For example, </w:t>
      </w:r>
      <w:r w:rsidR="0056335B">
        <w:rPr>
          <w:lang w:eastAsia="en-US"/>
        </w:rPr>
        <w:t>the APS Reform Office</w:t>
      </w:r>
      <w:r w:rsidR="0056335B" w:rsidRPr="0061355B">
        <w:rPr>
          <w:lang w:eastAsia="en-US"/>
        </w:rPr>
        <w:t xml:space="preserve"> </w:t>
      </w:r>
      <w:r w:rsidRPr="0061355B">
        <w:rPr>
          <w:lang w:eastAsia="en-US"/>
        </w:rPr>
        <w:t>recently conducted a survey on what Public Sector Stewardship means. While a generic survey generates a breadth of ideas, this topic could have been posed to a closed forum of academic researchers, seeking their unique contribution on this topic.</w:t>
      </w:r>
    </w:p>
    <w:p w:rsidR="0061355B" w:rsidRDefault="001B58EF" w:rsidP="00E84510">
      <w:pPr>
        <w:rPr>
          <w:lang w:eastAsia="en-US"/>
        </w:rPr>
      </w:pPr>
      <w:r>
        <w:rPr>
          <w:lang w:eastAsia="en-US"/>
        </w:rPr>
        <w:t>T</w:t>
      </w:r>
      <w:r w:rsidR="0061355B" w:rsidRPr="0061355B">
        <w:rPr>
          <w:lang w:eastAsia="en-US"/>
        </w:rPr>
        <w:t xml:space="preserve">his mechanism </w:t>
      </w:r>
      <w:r w:rsidR="00590E1B">
        <w:rPr>
          <w:lang w:eastAsia="en-US"/>
        </w:rPr>
        <w:t>would</w:t>
      </w:r>
      <w:r w:rsidR="00590E1B" w:rsidRPr="0061355B">
        <w:rPr>
          <w:lang w:eastAsia="en-US"/>
        </w:rPr>
        <w:t xml:space="preserve"> </w:t>
      </w:r>
      <w:r w:rsidR="0061355B" w:rsidRPr="0061355B">
        <w:rPr>
          <w:lang w:eastAsia="en-US"/>
        </w:rPr>
        <w:t xml:space="preserve">need to be managed by a person able to translate policy questions into academic-relevant requests and distil academic contributions into policy-relevant advice. To be useful, </w:t>
      </w:r>
      <w:r>
        <w:rPr>
          <w:lang w:eastAsia="en-US"/>
        </w:rPr>
        <w:t xml:space="preserve">the platform would need to be promoted </w:t>
      </w:r>
      <w:r w:rsidR="0061355B" w:rsidRPr="0061355B">
        <w:rPr>
          <w:lang w:eastAsia="en-US"/>
        </w:rPr>
        <w:t xml:space="preserve">to academics </w:t>
      </w:r>
      <w:r w:rsidR="00374FE2">
        <w:rPr>
          <w:lang w:eastAsia="en-US"/>
        </w:rPr>
        <w:t xml:space="preserve">in a way that meets their needs and </w:t>
      </w:r>
      <w:r w:rsidR="0061355B" w:rsidRPr="0061355B">
        <w:rPr>
          <w:lang w:eastAsia="en-US"/>
        </w:rPr>
        <w:t xml:space="preserve">makes it valuable </w:t>
      </w:r>
      <w:r>
        <w:rPr>
          <w:lang w:eastAsia="en-US"/>
        </w:rPr>
        <w:t>to</w:t>
      </w:r>
      <w:r w:rsidR="0061355B" w:rsidRPr="0061355B">
        <w:rPr>
          <w:lang w:eastAsia="en-US"/>
        </w:rPr>
        <w:t xml:space="preserve"> </w:t>
      </w:r>
      <w:r w:rsidRPr="0061355B">
        <w:rPr>
          <w:lang w:eastAsia="en-US"/>
        </w:rPr>
        <w:t>participat</w:t>
      </w:r>
      <w:r>
        <w:rPr>
          <w:lang w:eastAsia="en-US"/>
        </w:rPr>
        <w:t>e</w:t>
      </w:r>
      <w:r w:rsidR="0061355B" w:rsidRPr="0061355B">
        <w:rPr>
          <w:lang w:eastAsia="en-US"/>
        </w:rPr>
        <w:t xml:space="preserve">. </w:t>
      </w:r>
    </w:p>
    <w:p w:rsidR="00BA46D1" w:rsidRPr="0061355B" w:rsidRDefault="00EB44B5" w:rsidP="00E84510">
      <w:pPr>
        <w:rPr>
          <w:lang w:eastAsia="en-US"/>
        </w:rPr>
      </w:pPr>
      <w:r>
        <w:rPr>
          <w:lang w:eastAsia="en-US"/>
        </w:rPr>
        <w:t xml:space="preserve">It will be important to explore existing mechanisms as well as proposing new tools. For example, </w:t>
      </w:r>
      <w:r w:rsidR="001B58EF">
        <w:rPr>
          <w:lang w:eastAsia="en-US"/>
        </w:rPr>
        <w:t xml:space="preserve">the </w:t>
      </w:r>
      <w:r w:rsidR="00F20148" w:rsidRPr="00F20148">
        <w:rPr>
          <w:lang w:eastAsia="en-US"/>
        </w:rPr>
        <w:t>Mind Hive tool</w:t>
      </w:r>
      <w:r w:rsidR="001B58EF">
        <w:rPr>
          <w:lang w:eastAsia="en-US"/>
        </w:rPr>
        <w:t xml:space="preserve"> could be used but </w:t>
      </w:r>
      <w:r w:rsidR="00F20148" w:rsidRPr="00F20148">
        <w:rPr>
          <w:lang w:eastAsia="en-US"/>
        </w:rPr>
        <w:t xml:space="preserve">factors </w:t>
      </w:r>
      <w:r w:rsidR="001B58EF">
        <w:rPr>
          <w:lang w:eastAsia="en-US"/>
        </w:rPr>
        <w:t>which led to</w:t>
      </w:r>
      <w:r w:rsidR="00F20148" w:rsidRPr="00F20148">
        <w:rPr>
          <w:lang w:eastAsia="en-US"/>
        </w:rPr>
        <w:t xml:space="preserve"> low take up</w:t>
      </w:r>
      <w:r w:rsidR="00F20148">
        <w:rPr>
          <w:lang w:eastAsia="en-US"/>
        </w:rPr>
        <w:t xml:space="preserve"> of that platform </w:t>
      </w:r>
      <w:r w:rsidR="001B58EF">
        <w:rPr>
          <w:lang w:eastAsia="en-US"/>
        </w:rPr>
        <w:t>would need to be understood</w:t>
      </w:r>
      <w:r w:rsidR="00F20148" w:rsidRPr="00F20148">
        <w:rPr>
          <w:lang w:eastAsia="en-US"/>
        </w:rPr>
        <w:t>.</w:t>
      </w:r>
    </w:p>
    <w:p w:rsidR="0061355B" w:rsidRDefault="0061355B" w:rsidP="00E84510">
      <w:pPr>
        <w:rPr>
          <w:lang w:eastAsia="en-US"/>
        </w:rPr>
      </w:pPr>
    </w:p>
    <w:p w:rsidR="008F4FDA" w:rsidRDefault="008F4FDA" w:rsidP="00E84510">
      <w:pPr>
        <w:pStyle w:val="Heading3"/>
      </w:pPr>
      <w:r>
        <w:t xml:space="preserve">Communicating </w:t>
      </w:r>
      <w:r w:rsidR="00472A05">
        <w:t>the</w:t>
      </w:r>
      <w:r w:rsidR="001C2FD0">
        <w:t xml:space="preserve"> r</w:t>
      </w:r>
      <w:r>
        <w:t xml:space="preserve">esearch </w:t>
      </w:r>
      <w:r w:rsidR="001C2FD0">
        <w:t>a</w:t>
      </w:r>
      <w:r>
        <w:t>genda</w:t>
      </w:r>
    </w:p>
    <w:p w:rsidR="0061355B" w:rsidRPr="0061355B" w:rsidRDefault="007534AF" w:rsidP="00E84510">
      <w:pPr>
        <w:rPr>
          <w:lang w:eastAsia="en-US"/>
        </w:rPr>
      </w:pPr>
      <w:r>
        <w:rPr>
          <w:lang w:eastAsia="en-US"/>
        </w:rPr>
        <w:t>Green papers were a</w:t>
      </w:r>
      <w:r w:rsidR="00374FE2">
        <w:rPr>
          <w:lang w:eastAsia="en-US"/>
        </w:rPr>
        <w:t>nother tool</w:t>
      </w:r>
      <w:r w:rsidR="001C2FD0">
        <w:rPr>
          <w:lang w:eastAsia="en-US"/>
        </w:rPr>
        <w:t xml:space="preserve"> proposed </w:t>
      </w:r>
      <w:r>
        <w:rPr>
          <w:lang w:eastAsia="en-US"/>
        </w:rPr>
        <w:t>to communicate</w:t>
      </w:r>
      <w:r w:rsidR="001C2FD0">
        <w:rPr>
          <w:lang w:eastAsia="en-US"/>
        </w:rPr>
        <w:t xml:space="preserve"> the government’s research agenda </w:t>
      </w:r>
      <w:r>
        <w:rPr>
          <w:lang w:eastAsia="en-US"/>
        </w:rPr>
        <w:t>in 2013</w:t>
      </w:r>
      <w:r w:rsidR="00F65BA4">
        <w:rPr>
          <w:lang w:eastAsia="en-US"/>
        </w:rPr>
        <w:t>. These would involve r</w:t>
      </w:r>
      <w:r>
        <w:rPr>
          <w:lang w:eastAsia="en-US"/>
        </w:rPr>
        <w:t xml:space="preserve">esearch institutions partnering with </w:t>
      </w:r>
      <w:r w:rsidR="0061355B" w:rsidRPr="0061355B">
        <w:rPr>
          <w:lang w:eastAsia="en-US"/>
        </w:rPr>
        <w:t>Commonweal</w:t>
      </w:r>
      <w:r>
        <w:rPr>
          <w:lang w:eastAsia="en-US"/>
        </w:rPr>
        <w:t xml:space="preserve">th and State departments </w:t>
      </w:r>
      <w:r w:rsidR="0061355B" w:rsidRPr="0061355B">
        <w:rPr>
          <w:lang w:eastAsia="en-US"/>
        </w:rPr>
        <w:t>to develop joint exploratory ‘green papers’ to generate debate on key issues.</w:t>
      </w:r>
      <w:r w:rsidR="00F65BA4">
        <w:rPr>
          <w:lang w:eastAsia="en-US"/>
        </w:rPr>
        <w:t xml:space="preserve"> The use of </w:t>
      </w:r>
      <w:r w:rsidR="0061355B" w:rsidRPr="0061355B">
        <w:rPr>
          <w:lang w:eastAsia="en-US"/>
        </w:rPr>
        <w:t>‘blue papers’ for earlier stage collaborative blue sky thinking</w:t>
      </w:r>
      <w:r w:rsidR="00F65BA4">
        <w:rPr>
          <w:lang w:eastAsia="en-US"/>
        </w:rPr>
        <w:t xml:space="preserve"> was also considered, although now this would be captured under the process of a Long-Term Insights Briefing</w:t>
      </w:r>
      <w:r w:rsidR="0061355B" w:rsidRPr="0061355B">
        <w:rPr>
          <w:lang w:eastAsia="en-US"/>
        </w:rPr>
        <w:t>.</w:t>
      </w:r>
    </w:p>
    <w:p w:rsidR="00F65BA4" w:rsidRDefault="00F65BA4" w:rsidP="00E84510">
      <w:pPr>
        <w:rPr>
          <w:lang w:eastAsia="en-US"/>
        </w:rPr>
      </w:pPr>
      <w:r>
        <w:rPr>
          <w:lang w:eastAsia="en-US"/>
        </w:rPr>
        <w:t xml:space="preserve">This builds on an idea that has since gained traction in the UK, known as </w:t>
      </w:r>
      <w:r w:rsidR="002729EB">
        <w:rPr>
          <w:lang w:eastAsia="en-US"/>
        </w:rPr>
        <w:t>Areas of Research Interest (ARI)</w:t>
      </w:r>
      <w:r w:rsidR="00472A05">
        <w:rPr>
          <w:lang w:eastAsia="en-US"/>
        </w:rPr>
        <w:t>.</w:t>
      </w:r>
      <w:r w:rsidR="002729EB">
        <w:rPr>
          <w:lang w:eastAsia="en-US"/>
        </w:rPr>
        <w:t xml:space="preserve"> </w:t>
      </w:r>
      <w:r w:rsidR="00BF4CF6" w:rsidRPr="00BF4CF6">
        <w:rPr>
          <w:lang w:eastAsia="en-US"/>
        </w:rPr>
        <w:t xml:space="preserve">ARIs are lists of policy issues or questions. </w:t>
      </w:r>
      <w:r w:rsidR="005B1E31">
        <w:rPr>
          <w:lang w:eastAsia="en-US"/>
        </w:rPr>
        <w:t xml:space="preserve">Government departments </w:t>
      </w:r>
      <w:r w:rsidR="00BF4CF6" w:rsidRPr="00BF4CF6">
        <w:rPr>
          <w:lang w:eastAsia="en-US"/>
        </w:rPr>
        <w:t>use ARIs to scope and inform future work, and to seek expert contributions</w:t>
      </w:r>
      <w:r w:rsidR="00FF6048">
        <w:rPr>
          <w:lang w:eastAsia="en-US"/>
        </w:rPr>
        <w:t xml:space="preserve"> (</w:t>
      </w:r>
      <w:hyperlink r:id="rId9" w:history="1">
        <w:r w:rsidR="005B1E31" w:rsidRPr="00E07718">
          <w:rPr>
            <w:rStyle w:val="Hyperlink"/>
            <w:lang w:eastAsia="en-US"/>
          </w:rPr>
          <w:t>https://www.gov.uk/government/collections/areas-of-research-interest</w:t>
        </w:r>
      </w:hyperlink>
      <w:r w:rsidR="005B1E31">
        <w:rPr>
          <w:lang w:eastAsia="en-US"/>
        </w:rPr>
        <w:t>)</w:t>
      </w:r>
      <w:r w:rsidR="00BF4CF6" w:rsidRPr="00BF4CF6">
        <w:rPr>
          <w:lang w:eastAsia="en-US"/>
        </w:rPr>
        <w:t>.</w:t>
      </w:r>
      <w:r w:rsidR="005B1E31">
        <w:rPr>
          <w:lang w:eastAsia="en-US"/>
        </w:rPr>
        <w:t xml:space="preserve"> </w:t>
      </w:r>
      <w:r w:rsidR="00D06B0A">
        <w:rPr>
          <w:lang w:eastAsia="en-US"/>
        </w:rPr>
        <w:t>Oliver, Boaz and Cuccato (2023) have recently written on the ways ARI’s have been used</w:t>
      </w:r>
      <w:r w:rsidR="00771BBD">
        <w:rPr>
          <w:lang w:eastAsia="en-US"/>
        </w:rPr>
        <w:t>. They note that it is primarily an internal process for departments, but that some engaged with experts to help shape their ARI’s.</w:t>
      </w:r>
      <w:r w:rsidR="007A3131">
        <w:rPr>
          <w:lang w:eastAsia="en-US"/>
        </w:rPr>
        <w:t xml:space="preserve"> They have, to date, been effective at helping departments articulate their research needs but </w:t>
      </w:r>
      <w:r w:rsidR="00041994">
        <w:rPr>
          <w:lang w:eastAsia="en-US"/>
        </w:rPr>
        <w:t>could be even more effective at connecting with relevant</w:t>
      </w:r>
      <w:r w:rsidR="00B0791E">
        <w:rPr>
          <w:lang w:eastAsia="en-US"/>
        </w:rPr>
        <w:t xml:space="preserve">, interested parties if they were searchable and </w:t>
      </w:r>
      <w:r w:rsidR="00FA3541">
        <w:rPr>
          <w:lang w:eastAsia="en-US"/>
        </w:rPr>
        <w:t xml:space="preserve">if they were given a universal identifier to link them with the broader research agenda. </w:t>
      </w:r>
    </w:p>
    <w:p w:rsidR="0061355B" w:rsidRPr="0061355B" w:rsidRDefault="0061355B" w:rsidP="00E84510">
      <w:pPr>
        <w:rPr>
          <w:lang w:eastAsia="en-US"/>
        </w:rPr>
      </w:pPr>
    </w:p>
    <w:p w:rsidR="0061355B" w:rsidRPr="0061355B" w:rsidRDefault="008C233A" w:rsidP="00E84510">
      <w:pPr>
        <w:pStyle w:val="Heading3"/>
      </w:pPr>
      <w:r>
        <w:t>R</w:t>
      </w:r>
      <w:r w:rsidR="0061355B" w:rsidRPr="0061355B">
        <w:t>oundtables model</w:t>
      </w:r>
    </w:p>
    <w:p w:rsidR="008C233A" w:rsidRDefault="001B58EF" w:rsidP="00E84510">
      <w:pPr>
        <w:rPr>
          <w:lang w:eastAsia="en-US"/>
        </w:rPr>
      </w:pPr>
      <w:r>
        <w:rPr>
          <w:lang w:eastAsia="en-US"/>
        </w:rPr>
        <w:t xml:space="preserve">Roundtables </w:t>
      </w:r>
      <w:r w:rsidR="00B20F47">
        <w:rPr>
          <w:lang w:eastAsia="en-US"/>
        </w:rPr>
        <w:t xml:space="preserve">are used by </w:t>
      </w:r>
      <w:r w:rsidR="00B7161E">
        <w:rPr>
          <w:lang w:eastAsia="en-US"/>
        </w:rPr>
        <w:t>international governments</w:t>
      </w:r>
      <w:r>
        <w:rPr>
          <w:lang w:eastAsia="en-US"/>
        </w:rPr>
        <w:t xml:space="preserve">, </w:t>
      </w:r>
      <w:r w:rsidR="00B7161E">
        <w:rPr>
          <w:lang w:eastAsia="en-US"/>
        </w:rPr>
        <w:t>academi</w:t>
      </w:r>
      <w:r w:rsidR="00305496">
        <w:rPr>
          <w:lang w:eastAsia="en-US"/>
        </w:rPr>
        <w:t xml:space="preserve">a </w:t>
      </w:r>
      <w:r w:rsidR="00B7161E">
        <w:rPr>
          <w:lang w:eastAsia="en-US"/>
        </w:rPr>
        <w:t>and knowledge broker</w:t>
      </w:r>
      <w:r w:rsidR="00305496">
        <w:rPr>
          <w:lang w:eastAsia="en-US"/>
        </w:rPr>
        <w:t xml:space="preserve">s. For example, </w:t>
      </w:r>
      <w:r w:rsidR="009401CD">
        <w:rPr>
          <w:lang w:eastAsia="en-US"/>
        </w:rPr>
        <w:t>the Academy of Social Sciences in Australia has hosted many roundtable events</w:t>
      </w:r>
      <w:r w:rsidR="00F57A6E">
        <w:rPr>
          <w:lang w:eastAsia="en-US"/>
        </w:rPr>
        <w:t xml:space="preserve"> across a wide range of issues. </w:t>
      </w:r>
      <w:r>
        <w:rPr>
          <w:lang w:eastAsia="en-US"/>
        </w:rPr>
        <w:t>The roundtables</w:t>
      </w:r>
      <w:r w:rsidR="00F57A6E">
        <w:rPr>
          <w:lang w:eastAsia="en-US"/>
        </w:rPr>
        <w:t xml:space="preserve"> can include participants from across the public sector, </w:t>
      </w:r>
      <w:r w:rsidR="00711D9F">
        <w:rPr>
          <w:lang w:eastAsia="en-US"/>
        </w:rPr>
        <w:t xml:space="preserve">community and NGO sector, industry and academia, </w:t>
      </w:r>
      <w:r w:rsidR="00F57A6E" w:rsidRPr="00B25292">
        <w:rPr>
          <w:lang w:eastAsia="en-US"/>
        </w:rPr>
        <w:t>and are intended to advance discussion and thinking on policy.</w:t>
      </w:r>
      <w:r w:rsidR="00711D9F">
        <w:rPr>
          <w:lang w:eastAsia="en-US"/>
        </w:rPr>
        <w:t xml:space="preserve"> You can find further information on past roundtables at the following link: </w:t>
      </w:r>
      <w:hyperlink r:id="rId10" w:history="1">
        <w:r w:rsidR="00EE1694" w:rsidRPr="006F1F63">
          <w:rPr>
            <w:rStyle w:val="Hyperlink"/>
            <w:lang w:eastAsia="en-US"/>
          </w:rPr>
          <w:t>https://socialsciences.org.au/roundtables/</w:t>
        </w:r>
      </w:hyperlink>
      <w:r w:rsidR="00EE1694">
        <w:rPr>
          <w:lang w:eastAsia="en-US"/>
        </w:rPr>
        <w:t xml:space="preserve">. </w:t>
      </w:r>
    </w:p>
    <w:p w:rsidR="0061355B" w:rsidRDefault="0061355B" w:rsidP="00E84510">
      <w:pPr>
        <w:rPr>
          <w:lang w:eastAsia="en-US"/>
        </w:rPr>
      </w:pPr>
      <w:r w:rsidRPr="0061355B">
        <w:rPr>
          <w:lang w:eastAsia="en-US"/>
        </w:rPr>
        <w:t>PM&amp;C has</w:t>
      </w:r>
      <w:r w:rsidR="00EE1694">
        <w:rPr>
          <w:lang w:eastAsia="en-US"/>
        </w:rPr>
        <w:t xml:space="preserve"> also</w:t>
      </w:r>
      <w:r w:rsidRPr="0061355B">
        <w:rPr>
          <w:lang w:eastAsia="en-US"/>
        </w:rPr>
        <w:t xml:space="preserve"> initiated a series of roundtable discussions, comprising representatives from academia, the private sector and the APS, to workshop a specific policy challenge. The first roundtable was held in April 2023 on </w:t>
      </w:r>
      <w:r w:rsidR="001B58EF">
        <w:rPr>
          <w:lang w:eastAsia="en-US"/>
        </w:rPr>
        <w:t>a key policy issue</w:t>
      </w:r>
      <w:r w:rsidRPr="0061355B">
        <w:rPr>
          <w:lang w:eastAsia="en-US"/>
        </w:rPr>
        <w:t>. Participants were selected based on their expertise on th</w:t>
      </w:r>
      <w:r w:rsidR="001B58EF">
        <w:rPr>
          <w:lang w:eastAsia="en-US"/>
        </w:rPr>
        <w:t>e</w:t>
      </w:r>
      <w:r w:rsidRPr="0061355B">
        <w:rPr>
          <w:lang w:eastAsia="en-US"/>
        </w:rPr>
        <w:t xml:space="preserve"> topic, and provided with a package of pre-reading material to help </w:t>
      </w:r>
      <w:r w:rsidRPr="00AB0678">
        <w:rPr>
          <w:lang w:eastAsia="en-US"/>
        </w:rPr>
        <w:t>contextual the discussion.</w:t>
      </w:r>
      <w:r w:rsidRPr="0061355B">
        <w:rPr>
          <w:lang w:eastAsia="en-US"/>
        </w:rPr>
        <w:t xml:space="preserve"> </w:t>
      </w:r>
    </w:p>
    <w:p w:rsidR="00980743" w:rsidRDefault="00980743" w:rsidP="00E84510">
      <w:pPr>
        <w:rPr>
          <w:lang w:eastAsia="en-US"/>
        </w:rPr>
      </w:pPr>
    </w:p>
    <w:p w:rsidR="006E5D66" w:rsidRPr="0061355B" w:rsidRDefault="006E5D66" w:rsidP="00E84510">
      <w:pPr>
        <w:pStyle w:val="Heading3"/>
      </w:pPr>
      <w:r>
        <w:t xml:space="preserve">PhD internships </w:t>
      </w:r>
    </w:p>
    <w:p w:rsidR="00C50B7C" w:rsidRDefault="007F2C4F" w:rsidP="00E84510">
      <w:pPr>
        <w:rPr>
          <w:lang w:eastAsia="en-US"/>
        </w:rPr>
      </w:pPr>
      <w:r>
        <w:rPr>
          <w:lang w:eastAsia="en-US"/>
        </w:rPr>
        <w:t xml:space="preserve">A </w:t>
      </w:r>
      <w:r w:rsidR="00822608">
        <w:rPr>
          <w:lang w:eastAsia="en-US"/>
        </w:rPr>
        <w:t xml:space="preserve">more </w:t>
      </w:r>
      <w:r w:rsidR="00D524E1">
        <w:rPr>
          <w:lang w:eastAsia="en-US"/>
        </w:rPr>
        <w:t>short-term</w:t>
      </w:r>
      <w:r w:rsidR="00822608">
        <w:rPr>
          <w:lang w:eastAsia="en-US"/>
        </w:rPr>
        <w:t xml:space="preserve"> opportunity</w:t>
      </w:r>
      <w:r w:rsidR="001B58EF">
        <w:rPr>
          <w:lang w:eastAsia="en-US"/>
        </w:rPr>
        <w:t xml:space="preserve"> </w:t>
      </w:r>
      <w:r w:rsidR="00822608">
        <w:rPr>
          <w:lang w:eastAsia="en-US"/>
        </w:rPr>
        <w:t>is to explore PhD i</w:t>
      </w:r>
      <w:r w:rsidR="00AA5831">
        <w:rPr>
          <w:lang w:eastAsia="en-US"/>
        </w:rPr>
        <w:t>nternships</w:t>
      </w:r>
      <w:r w:rsidR="00822608">
        <w:rPr>
          <w:lang w:eastAsia="en-US"/>
        </w:rPr>
        <w:t>. These internships</w:t>
      </w:r>
      <w:r w:rsidR="00AA5831">
        <w:rPr>
          <w:lang w:eastAsia="en-US"/>
        </w:rPr>
        <w:t xml:space="preserve"> are being encouraged for PhD students underta</w:t>
      </w:r>
      <w:r w:rsidR="00B36035">
        <w:rPr>
          <w:lang w:eastAsia="en-US"/>
        </w:rPr>
        <w:t>k</w:t>
      </w:r>
      <w:r w:rsidR="00AA5831">
        <w:rPr>
          <w:lang w:eastAsia="en-US"/>
        </w:rPr>
        <w:t>ing a</w:t>
      </w:r>
      <w:r w:rsidR="00B36035">
        <w:rPr>
          <w:lang w:eastAsia="en-US"/>
        </w:rPr>
        <w:t xml:space="preserve"> Research Training Program funded scholarship. These internships include a minimum </w:t>
      </w:r>
      <w:r w:rsidR="00D524E1">
        <w:rPr>
          <w:lang w:eastAsia="en-US"/>
        </w:rPr>
        <w:t>3-month</w:t>
      </w:r>
      <w:r w:rsidR="00CC04A6">
        <w:rPr>
          <w:lang w:eastAsia="en-US"/>
        </w:rPr>
        <w:t xml:space="preserve"> (60 days FTE)</w:t>
      </w:r>
      <w:r w:rsidR="00B36035">
        <w:rPr>
          <w:lang w:eastAsia="en-US"/>
        </w:rPr>
        <w:t xml:space="preserve"> engagement with a research end user. </w:t>
      </w:r>
      <w:r w:rsidR="00275C64">
        <w:rPr>
          <w:lang w:eastAsia="en-US"/>
        </w:rPr>
        <w:t xml:space="preserve">This internships can be promoted </w:t>
      </w:r>
      <w:r w:rsidR="00B14D30">
        <w:rPr>
          <w:lang w:eastAsia="en-US"/>
        </w:rPr>
        <w:t xml:space="preserve">to departments as an opportunity to build links with research and </w:t>
      </w:r>
      <w:r w:rsidR="00B353C5">
        <w:rPr>
          <w:lang w:eastAsia="en-US"/>
        </w:rPr>
        <w:t xml:space="preserve">as a </w:t>
      </w:r>
      <w:r w:rsidR="00F6077E">
        <w:rPr>
          <w:lang w:eastAsia="en-US"/>
        </w:rPr>
        <w:t xml:space="preserve">useful tool </w:t>
      </w:r>
      <w:r w:rsidR="00B353C5">
        <w:rPr>
          <w:lang w:eastAsia="en-US"/>
        </w:rPr>
        <w:t xml:space="preserve">for early career scholars to understand </w:t>
      </w:r>
      <w:r w:rsidR="00F6077E">
        <w:rPr>
          <w:lang w:eastAsia="en-US"/>
        </w:rPr>
        <w:t xml:space="preserve">the policy environment amongst </w:t>
      </w:r>
      <w:r w:rsidR="00200F4D">
        <w:rPr>
          <w:lang w:eastAsia="en-US"/>
        </w:rPr>
        <w:t xml:space="preserve">early career scholars. </w:t>
      </w:r>
      <w:r w:rsidR="00BA48CA">
        <w:rPr>
          <w:lang w:eastAsia="en-US"/>
        </w:rPr>
        <w:t>Tuckerman (2</w:t>
      </w:r>
      <w:r w:rsidR="00FC27A1">
        <w:rPr>
          <w:lang w:eastAsia="en-US"/>
        </w:rPr>
        <w:t xml:space="preserve">022) </w:t>
      </w:r>
      <w:r w:rsidR="006D2AD5">
        <w:rPr>
          <w:lang w:eastAsia="en-US"/>
        </w:rPr>
        <w:t>shares that these programs “</w:t>
      </w:r>
      <w:r w:rsidR="00BA48CA" w:rsidRPr="00BA48CA">
        <w:rPr>
          <w:lang w:eastAsia="en-US"/>
        </w:rPr>
        <w:t>can make them think about how their PhD research is or can be made relevant to practice and policy</w:t>
      </w:r>
      <w:r w:rsidR="006D2AD5">
        <w:rPr>
          <w:lang w:eastAsia="en-US"/>
        </w:rPr>
        <w:t>” (139)</w:t>
      </w:r>
      <w:r w:rsidR="00BA48CA" w:rsidRPr="00BA48CA">
        <w:rPr>
          <w:lang w:eastAsia="en-US"/>
        </w:rPr>
        <w:t>.</w:t>
      </w:r>
      <w:r w:rsidR="006D2AD5">
        <w:rPr>
          <w:lang w:eastAsia="en-US"/>
        </w:rPr>
        <w:t xml:space="preserve"> </w:t>
      </w:r>
      <w:r w:rsidR="00AA4637">
        <w:rPr>
          <w:lang w:eastAsia="en-US"/>
        </w:rPr>
        <w:t xml:space="preserve">Many universities are willing and able to facilitate the process, including finding a PhD student well suited to the policy problem at hand. </w:t>
      </w:r>
    </w:p>
    <w:p w:rsidR="00C50B7C" w:rsidRDefault="00C50B7C" w:rsidP="00E84510">
      <w:pPr>
        <w:rPr>
          <w:lang w:eastAsia="en-US"/>
        </w:rPr>
      </w:pPr>
    </w:p>
    <w:p w:rsidR="00C50B7C" w:rsidRPr="0061355B" w:rsidRDefault="00C50B7C" w:rsidP="00E84510">
      <w:pPr>
        <w:pStyle w:val="Heading3"/>
      </w:pPr>
      <w:r w:rsidRPr="0061355B">
        <w:t>Rotating returning SRW scholars through</w:t>
      </w:r>
      <w:r w:rsidR="00AA0088">
        <w:t xml:space="preserve"> the</w:t>
      </w:r>
      <w:r w:rsidRPr="0061355B">
        <w:t xml:space="preserve"> in-house consulting hub</w:t>
      </w:r>
    </w:p>
    <w:p w:rsidR="00C50B7C" w:rsidRPr="0049359F" w:rsidRDefault="00C50B7C" w:rsidP="00E84510">
      <w:pPr>
        <w:rPr>
          <w:lang w:eastAsia="en-US"/>
        </w:rPr>
      </w:pPr>
      <w:r w:rsidRPr="0061355B">
        <w:rPr>
          <w:lang w:eastAsia="en-US"/>
        </w:rPr>
        <w:t>The Sir Roland Wilson Foundation was established to promote evid</w:t>
      </w:r>
      <w:r w:rsidR="00AA0088">
        <w:rPr>
          <w:lang w:eastAsia="en-US"/>
        </w:rPr>
        <w:t>ence-based policy making by</w:t>
      </w:r>
      <w:r w:rsidRPr="0061355B">
        <w:rPr>
          <w:lang w:eastAsia="en-US"/>
        </w:rPr>
        <w:t xml:space="preserve"> providing scholarships that invest in research opportunities for public servant</w:t>
      </w:r>
      <w:r w:rsidR="00AA0088">
        <w:rPr>
          <w:lang w:eastAsia="en-US"/>
        </w:rPr>
        <w:t>s</w:t>
      </w:r>
      <w:r w:rsidRPr="0061355B">
        <w:rPr>
          <w:lang w:eastAsia="en-US"/>
        </w:rPr>
        <w:t xml:space="preserve">. After Scholars complete their PhD, they return to their home department, with deeper insight into the policy topic of their research, new skills in research, and new relationships which can be drawn on throughout their public service career. This fosters collaboration and builds networks between the APS and the partner universities (ANU and Charles </w:t>
      </w:r>
      <w:r w:rsidRPr="0049359F">
        <w:rPr>
          <w:lang w:eastAsia="en-US"/>
        </w:rPr>
        <w:t>Darwin University).</w:t>
      </w:r>
    </w:p>
    <w:p w:rsidR="00A42D84" w:rsidRPr="00E65D76" w:rsidRDefault="00C50B7C" w:rsidP="00E84510">
      <w:pPr>
        <w:rPr>
          <w:lang w:eastAsia="en-US"/>
        </w:rPr>
      </w:pPr>
      <w:r w:rsidRPr="0049359F">
        <w:t>A PhD research topic will likely generate a rang</w:t>
      </w:r>
      <w:r w:rsidR="00650D02" w:rsidRPr="0049359F">
        <w:t xml:space="preserve">e of insights with relevance </w:t>
      </w:r>
      <w:r w:rsidRPr="0049359F">
        <w:t xml:space="preserve">and benefits for </w:t>
      </w:r>
      <w:r w:rsidR="00D524E1" w:rsidRPr="0049359F">
        <w:t>several</w:t>
      </w:r>
      <w:r w:rsidRPr="0049359F">
        <w:t xml:space="preserve"> APS portfolios. </w:t>
      </w:r>
      <w:r w:rsidR="00650D02" w:rsidRPr="0049359F">
        <w:t xml:space="preserve">This </w:t>
      </w:r>
      <w:r w:rsidR="00275C64" w:rsidRPr="0049359F">
        <w:t xml:space="preserve">potential </w:t>
      </w:r>
      <w:r w:rsidR="00650D02" w:rsidRPr="0049359F">
        <w:t xml:space="preserve">pilot project </w:t>
      </w:r>
      <w:r w:rsidR="00275C64" w:rsidRPr="0049359F">
        <w:t xml:space="preserve">could </w:t>
      </w:r>
      <w:r w:rsidRPr="0049359F">
        <w:t>rotate returning SRW scholars through the new In-House Consulting Hub (located</w:t>
      </w:r>
      <w:r w:rsidRPr="008C233A">
        <w:t xml:space="preserve"> in PM&amp;C), to provide a platform for wider dissemination of their research and relationships with academia. </w:t>
      </w:r>
    </w:p>
    <w:p w:rsidR="00BA46D1" w:rsidRPr="000678E2" w:rsidRDefault="00BA46D1" w:rsidP="00E84510"/>
    <w:p w:rsidR="00BA46D1" w:rsidRPr="008C233A" w:rsidRDefault="00BA46D1" w:rsidP="00E84510">
      <w:pPr>
        <w:pStyle w:val="Heading2"/>
        <w:rPr>
          <w:sz w:val="28"/>
        </w:rPr>
      </w:pPr>
      <w:bookmarkStart w:id="7" w:name="_Toc140834164"/>
      <w:r w:rsidRPr="008C233A">
        <w:rPr>
          <w:sz w:val="28"/>
        </w:rPr>
        <w:t>Design</w:t>
      </w:r>
      <w:bookmarkEnd w:id="7"/>
    </w:p>
    <w:p w:rsidR="00314CBF" w:rsidRDefault="00314CBF" w:rsidP="00314CBF">
      <w:pPr>
        <w:jc w:val="both"/>
      </w:pPr>
      <w:r>
        <w:t xml:space="preserve">This stage involves the development of the potential collaboration and agreement on the parameters of the collaborative project. This may include defining methods, outcomes and timeframes. </w:t>
      </w:r>
    </w:p>
    <w:p w:rsidR="00314CBF" w:rsidRDefault="00314CBF" w:rsidP="00E84510">
      <w:pPr>
        <w:pStyle w:val="Heading3"/>
      </w:pPr>
    </w:p>
    <w:p w:rsidR="00D732F0" w:rsidRDefault="00D732F0" w:rsidP="00E84510">
      <w:pPr>
        <w:pStyle w:val="Heading3"/>
      </w:pPr>
      <w:r>
        <w:t>The Chief Knowledge Officers Network</w:t>
      </w:r>
    </w:p>
    <w:p w:rsidR="00D732F0" w:rsidRDefault="00D732F0" w:rsidP="00E84510">
      <w:pPr>
        <w:spacing w:after="200" w:line="276" w:lineRule="auto"/>
        <w:contextualSpacing/>
        <w:rPr>
          <w:lang w:eastAsia="en-US"/>
        </w:rPr>
      </w:pPr>
      <w:r>
        <w:rPr>
          <w:lang w:eastAsia="en-US"/>
        </w:rPr>
        <w:t xml:space="preserve">This </w:t>
      </w:r>
      <w:r w:rsidR="00314CBF">
        <w:rPr>
          <w:lang w:eastAsia="en-US"/>
        </w:rPr>
        <w:t>is a proposal from the</w:t>
      </w:r>
      <w:r w:rsidR="00650D02">
        <w:rPr>
          <w:lang w:eastAsia="en-US"/>
        </w:rPr>
        <w:t xml:space="preserve"> 2013 workshop</w:t>
      </w:r>
      <w:r>
        <w:rPr>
          <w:lang w:eastAsia="en-US"/>
        </w:rPr>
        <w:t>. Chief knowledge officers were intended to provide a means of clarifying and disseminating research engagement mandates and auditing existing capacity. Chief knowledge officers could be appointed in each department, to be responsible for managing the relationship between that department and the research community. This would involve creating networks, and assisting departmental business units with research brokering, and capability building. This was</w:t>
      </w:r>
      <w:r w:rsidR="00650D02">
        <w:rPr>
          <w:lang w:eastAsia="en-US"/>
        </w:rPr>
        <w:t xml:space="preserve"> based on the idea</w:t>
      </w:r>
      <w:r>
        <w:rPr>
          <w:lang w:eastAsia="en-US"/>
        </w:rPr>
        <w:t xml:space="preserve"> that most departments already have research expertise, but don’t have a clear mandate for engaging with research across the entire organisation. </w:t>
      </w:r>
      <w:r w:rsidR="00314CBF">
        <w:rPr>
          <w:lang w:eastAsia="en-US"/>
        </w:rPr>
        <w:t>The aim of this possible mechanism is</w:t>
      </w:r>
      <w:r>
        <w:rPr>
          <w:lang w:eastAsia="en-US"/>
        </w:rPr>
        <w:t xml:space="preserve"> </w:t>
      </w:r>
      <w:r w:rsidR="00314CBF">
        <w:rPr>
          <w:lang w:eastAsia="en-US"/>
        </w:rPr>
        <w:t>collaboratively</w:t>
      </w:r>
      <w:r>
        <w:rPr>
          <w:lang w:eastAsia="en-US"/>
        </w:rPr>
        <w:t xml:space="preserve"> shaping shared agendas and mutual cultural understanding.</w:t>
      </w:r>
    </w:p>
    <w:p w:rsidR="00D732F0" w:rsidRDefault="00D732F0" w:rsidP="00E84510">
      <w:pPr>
        <w:rPr>
          <w:lang w:eastAsia="en-US"/>
        </w:rPr>
      </w:pPr>
    </w:p>
    <w:p w:rsidR="00D732F0" w:rsidRDefault="00D732F0" w:rsidP="00E84510">
      <w:pPr>
        <w:pStyle w:val="Heading3"/>
      </w:pPr>
      <w:r>
        <w:t xml:space="preserve">Knowledge Broker Hub </w:t>
      </w:r>
    </w:p>
    <w:p w:rsidR="00D732F0" w:rsidRDefault="00D732F0" w:rsidP="00E84510">
      <w:pPr>
        <w:rPr>
          <w:lang w:eastAsia="en-US"/>
        </w:rPr>
      </w:pPr>
      <w:r>
        <w:rPr>
          <w:lang w:eastAsia="en-US"/>
        </w:rPr>
        <w:t>A</w:t>
      </w:r>
      <w:r w:rsidR="00314CBF">
        <w:rPr>
          <w:lang w:eastAsia="en-US"/>
        </w:rPr>
        <w:t xml:space="preserve"> knowledge brokers hub that</w:t>
      </w:r>
      <w:r>
        <w:rPr>
          <w:lang w:eastAsia="en-US"/>
        </w:rPr>
        <w:t xml:space="preserve"> build</w:t>
      </w:r>
      <w:r w:rsidR="00314CBF">
        <w:rPr>
          <w:lang w:eastAsia="en-US"/>
        </w:rPr>
        <w:t xml:space="preserve">s </w:t>
      </w:r>
      <w:r>
        <w:rPr>
          <w:lang w:eastAsia="en-US"/>
        </w:rPr>
        <w:t xml:space="preserve">on the learnings from </w:t>
      </w:r>
      <w:r w:rsidR="00650D02">
        <w:rPr>
          <w:lang w:eastAsia="en-US"/>
        </w:rPr>
        <w:t xml:space="preserve">Open Innovation UK </w:t>
      </w:r>
      <w:r>
        <w:rPr>
          <w:lang w:eastAsia="en-US"/>
        </w:rPr>
        <w:t>and other university initiated public sector tran</w:t>
      </w:r>
      <w:r w:rsidR="00650D02">
        <w:rPr>
          <w:lang w:eastAsia="en-US"/>
        </w:rPr>
        <w:t xml:space="preserve">slation programmes, could be </w:t>
      </w:r>
      <w:r w:rsidR="00314CBF">
        <w:rPr>
          <w:lang w:eastAsia="en-US"/>
        </w:rPr>
        <w:t>tested</w:t>
      </w:r>
      <w:r>
        <w:rPr>
          <w:lang w:eastAsia="en-US"/>
        </w:rPr>
        <w:t xml:space="preserve"> to facilitate stronger relationships between the APS and the academic sector.</w:t>
      </w:r>
    </w:p>
    <w:p w:rsidR="00D732F0" w:rsidRPr="0049359F" w:rsidRDefault="00D732F0" w:rsidP="00E84510">
      <w:pPr>
        <w:rPr>
          <w:lang w:eastAsia="en-US"/>
        </w:rPr>
      </w:pPr>
      <w:r>
        <w:rPr>
          <w:lang w:eastAsia="en-US"/>
        </w:rPr>
        <w:t xml:space="preserve">A hub could pilot a series of relationship management approaches and knowledge broker functions (some discussed in this paper) to identify researchers with an APS-relevant focus and facilitate pathways to connect researchers and public servants. Knowledge brokers connect researchers and practitioners and help them better understand one another to identify shared objectives and promote knowledge exchange. A hub mechanism could provide a whole-of-service offering for the APS, enabling policy officers to identify research partners in their field. A hub could also provide a location to host researcher fellowships for academics with topics of APS significance, be a platform for APS staff conducting other relevant research, to maintain their links to the APS and establish new links for the service in new academic institutions and </w:t>
      </w:r>
      <w:r w:rsidRPr="0049359F">
        <w:rPr>
          <w:lang w:eastAsia="en-US"/>
        </w:rPr>
        <w:t>fields, and a base for continuing engagement with SRW Scholars throughout the duration of their PhD.</w:t>
      </w:r>
    </w:p>
    <w:p w:rsidR="00D732F0" w:rsidRPr="0049359F" w:rsidRDefault="00D732F0" w:rsidP="00E84510">
      <w:pPr>
        <w:rPr>
          <w:lang w:eastAsia="en-US"/>
        </w:rPr>
      </w:pPr>
    </w:p>
    <w:p w:rsidR="00DF1FFE" w:rsidRPr="0049359F" w:rsidRDefault="00DF1FFE" w:rsidP="00E84510">
      <w:pPr>
        <w:pStyle w:val="Heading3"/>
      </w:pPr>
      <w:r w:rsidRPr="0049359F">
        <w:t>Project-focused fellowship program</w:t>
      </w:r>
    </w:p>
    <w:p w:rsidR="00314CBF" w:rsidRDefault="00855E6A" w:rsidP="00E84510">
      <w:pPr>
        <w:keepLines/>
        <w:rPr>
          <w:lang w:eastAsia="en-US"/>
        </w:rPr>
      </w:pPr>
      <w:r w:rsidRPr="0049359F">
        <w:rPr>
          <w:lang w:eastAsia="en-US"/>
        </w:rPr>
        <w:t xml:space="preserve">This mechanism would involve a </w:t>
      </w:r>
      <w:r w:rsidR="00DF1FFE" w:rsidRPr="0049359F">
        <w:rPr>
          <w:lang w:eastAsia="en-US"/>
        </w:rPr>
        <w:t>fellowshi</w:t>
      </w:r>
      <w:r w:rsidR="007A58AA" w:rsidRPr="0049359F">
        <w:rPr>
          <w:lang w:eastAsia="en-US"/>
        </w:rPr>
        <w:t>p program for academics to join a d</w:t>
      </w:r>
      <w:r w:rsidR="00DF1FFE" w:rsidRPr="0049359F">
        <w:rPr>
          <w:lang w:eastAsia="en-US"/>
        </w:rPr>
        <w:t>epartm</w:t>
      </w:r>
      <w:r w:rsidR="007A58AA" w:rsidRPr="0049359F">
        <w:rPr>
          <w:lang w:eastAsia="en-US"/>
        </w:rPr>
        <w:t>ent for a short term secondment and</w:t>
      </w:r>
      <w:r w:rsidR="00DF1FFE" w:rsidRPr="0049359F">
        <w:rPr>
          <w:lang w:eastAsia="en-US"/>
        </w:rPr>
        <w:t xml:space="preserve"> work collaboratively with a policy team on a particular policy topic. </w:t>
      </w:r>
      <w:r w:rsidR="007A58AA" w:rsidRPr="0049359F">
        <w:rPr>
          <w:lang w:eastAsia="en-US"/>
        </w:rPr>
        <w:t xml:space="preserve">The </w:t>
      </w:r>
      <w:r w:rsidR="00DF1FFE" w:rsidRPr="0049359F">
        <w:rPr>
          <w:lang w:eastAsia="en-US"/>
        </w:rPr>
        <w:t xml:space="preserve">hosting department </w:t>
      </w:r>
      <w:r w:rsidR="007A58AA" w:rsidRPr="0049359F">
        <w:rPr>
          <w:lang w:eastAsia="en-US"/>
        </w:rPr>
        <w:t xml:space="preserve">will benefit </w:t>
      </w:r>
      <w:r w:rsidR="007A58AA" w:rsidRPr="0049359F">
        <w:t xml:space="preserve">from the fellows research capability and contribution to </w:t>
      </w:r>
      <w:r w:rsidR="00DF1FFE" w:rsidRPr="0049359F">
        <w:t>policy solution</w:t>
      </w:r>
      <w:r w:rsidR="007A58AA" w:rsidRPr="0049359F">
        <w:t xml:space="preserve">s. </w:t>
      </w:r>
      <w:r w:rsidR="00DF1FFE" w:rsidRPr="0049359F">
        <w:t xml:space="preserve">This would also benefit </w:t>
      </w:r>
      <w:r w:rsidR="007A58AA" w:rsidRPr="0049359F">
        <w:t xml:space="preserve">academics </w:t>
      </w:r>
      <w:r w:rsidR="00DF1FFE" w:rsidRPr="0049359F">
        <w:t xml:space="preserve">researching policy or public administration, </w:t>
      </w:r>
      <w:r w:rsidR="007A58AA" w:rsidRPr="0049359F">
        <w:t>as they</w:t>
      </w:r>
      <w:r w:rsidR="00DF1FFE" w:rsidRPr="0049359F">
        <w:t xml:space="preserve"> gain an understanding of the practicalities of the policy development process.</w:t>
      </w:r>
      <w:r w:rsidR="00DF1FFE">
        <w:rPr>
          <w:lang w:eastAsia="en-US"/>
        </w:rPr>
        <w:t xml:space="preserve"> </w:t>
      </w:r>
    </w:p>
    <w:p w:rsidR="00DF1FFE" w:rsidRDefault="00DF1FFE" w:rsidP="00980743">
      <w:pPr>
        <w:keepLines/>
        <w:rPr>
          <w:lang w:eastAsia="en-US"/>
        </w:rPr>
      </w:pPr>
    </w:p>
    <w:p w:rsidR="00DF1FFE" w:rsidRDefault="00DF1FFE" w:rsidP="00E84510">
      <w:pPr>
        <w:pStyle w:val="Heading3"/>
      </w:pPr>
      <w:r>
        <w:t>Secondments</w:t>
      </w:r>
    </w:p>
    <w:p w:rsidR="00F05C8C" w:rsidRPr="0049359F" w:rsidRDefault="007A58AA" w:rsidP="00E84510">
      <w:pPr>
        <w:keepLines/>
        <w:rPr>
          <w:lang w:eastAsia="en-US"/>
        </w:rPr>
      </w:pPr>
      <w:r>
        <w:rPr>
          <w:lang w:eastAsia="en-US"/>
        </w:rPr>
        <w:t xml:space="preserve">A </w:t>
      </w:r>
      <w:r w:rsidR="00E313AC">
        <w:rPr>
          <w:lang w:eastAsia="en-US"/>
        </w:rPr>
        <w:t xml:space="preserve">secondment model </w:t>
      </w:r>
      <w:r>
        <w:rPr>
          <w:lang w:eastAsia="en-US"/>
        </w:rPr>
        <w:t xml:space="preserve">which can </w:t>
      </w:r>
      <w:r w:rsidR="00E313AC">
        <w:rPr>
          <w:lang w:eastAsia="en-US"/>
        </w:rPr>
        <w:t>go both ways</w:t>
      </w:r>
      <w:r>
        <w:rPr>
          <w:lang w:eastAsia="en-US"/>
        </w:rPr>
        <w:t xml:space="preserve"> is worth exploring. Researchers may </w:t>
      </w:r>
      <w:r w:rsidR="002E4135">
        <w:rPr>
          <w:lang w:eastAsia="en-US"/>
        </w:rPr>
        <w:t>work within</w:t>
      </w:r>
      <w:r w:rsidR="00DE7521">
        <w:rPr>
          <w:lang w:eastAsia="en-US"/>
        </w:rPr>
        <w:t xml:space="preserve"> a</w:t>
      </w:r>
      <w:r w:rsidR="002E4135">
        <w:rPr>
          <w:lang w:eastAsia="en-US"/>
        </w:rPr>
        <w:t xml:space="preserve"> </w:t>
      </w:r>
      <w:r w:rsidR="00D853E6">
        <w:rPr>
          <w:lang w:eastAsia="en-US"/>
        </w:rPr>
        <w:t>d</w:t>
      </w:r>
      <w:r w:rsidR="002E4135">
        <w:rPr>
          <w:lang w:eastAsia="en-US"/>
        </w:rPr>
        <w:t>epartment</w:t>
      </w:r>
      <w:r w:rsidR="00DE7521">
        <w:rPr>
          <w:lang w:eastAsia="en-US"/>
        </w:rPr>
        <w:t xml:space="preserve"> or age</w:t>
      </w:r>
      <w:r w:rsidR="00D853E6">
        <w:rPr>
          <w:lang w:eastAsia="en-US"/>
        </w:rPr>
        <w:t>ncy</w:t>
      </w:r>
      <w:r w:rsidR="002E4135">
        <w:rPr>
          <w:lang w:eastAsia="en-US"/>
        </w:rPr>
        <w:t xml:space="preserve"> for a period of time</w:t>
      </w:r>
      <w:r w:rsidR="00D55099">
        <w:rPr>
          <w:lang w:eastAsia="en-US"/>
        </w:rPr>
        <w:t>, such as in the University College of London’s policy secondment scheme</w:t>
      </w:r>
      <w:r w:rsidR="00031400">
        <w:rPr>
          <w:lang w:eastAsia="en-US"/>
        </w:rPr>
        <w:t xml:space="preserve"> </w:t>
      </w:r>
      <w:r w:rsidR="00D55099">
        <w:rPr>
          <w:lang w:eastAsia="en-US"/>
        </w:rPr>
        <w:fldChar w:fldCharType="begin"/>
      </w:r>
      <w:r w:rsidR="00B10239">
        <w:rPr>
          <w:lang w:eastAsia="en-US"/>
        </w:rPr>
        <w:instrText xml:space="preserve"> ADDIN ZOTERO_ITEM CSL_CITATION {"citationID":"W8hA282A","properties":{"formattedCitation":"(Government Office for Science, 2013)","plainCitation":"(Government Office for Science, 2013)","noteIndex":0},"citationItems":[{"id":8589,"uris":["http://zotero.org/users/11793275/items/FA94TGXC"],"itemData":{"id":8589,"type":"report","language":"en","source":"Zotero","title":"Engaging with academics: how to further strengthen open policy making - a guide for policy makers","author":[{"family":"Government Office for Science","given":""}],"issued":{"date-parts":[["2013"]]}}}],"schema":"https://github.com/citation-style-language/schema/raw/master/csl-citation.json"} </w:instrText>
      </w:r>
      <w:r w:rsidR="00D55099">
        <w:rPr>
          <w:lang w:eastAsia="en-US"/>
        </w:rPr>
        <w:fldChar w:fldCharType="separate"/>
      </w:r>
      <w:r w:rsidR="00B10239" w:rsidRPr="00B10239">
        <w:rPr>
          <w:rFonts w:ascii="Calibri" w:hAnsi="Calibri" w:cs="Calibri"/>
        </w:rPr>
        <w:t>(Government Office for Science, 2013)</w:t>
      </w:r>
      <w:r w:rsidR="00D55099">
        <w:rPr>
          <w:lang w:eastAsia="en-US"/>
        </w:rPr>
        <w:fldChar w:fldCharType="end"/>
      </w:r>
      <w:r w:rsidR="00D853E6">
        <w:rPr>
          <w:lang w:eastAsia="en-US"/>
        </w:rPr>
        <w:t xml:space="preserve">, or members of the public sector can be </w:t>
      </w:r>
      <w:r w:rsidR="00F05C8C">
        <w:rPr>
          <w:lang w:eastAsia="en-US"/>
        </w:rPr>
        <w:t xml:space="preserve">seconded into an academic environment such as in </w:t>
      </w:r>
      <w:r w:rsidR="00F05C8C" w:rsidRPr="00774F07">
        <w:rPr>
          <w:lang w:eastAsia="en-US"/>
        </w:rPr>
        <w:t>the National Security College at ANU</w:t>
      </w:r>
      <w:r w:rsidR="00F05C8C">
        <w:rPr>
          <w:lang w:eastAsia="en-US"/>
        </w:rPr>
        <w:t xml:space="preserve">. </w:t>
      </w:r>
      <w:r w:rsidR="008129F0">
        <w:rPr>
          <w:lang w:eastAsia="en-US"/>
        </w:rPr>
        <w:t xml:space="preserve">This could also be aligned with </w:t>
      </w:r>
      <w:r>
        <w:rPr>
          <w:lang w:eastAsia="en-US"/>
        </w:rPr>
        <w:t xml:space="preserve">the PhD </w:t>
      </w:r>
      <w:r w:rsidRPr="0049359F">
        <w:rPr>
          <w:lang w:eastAsia="en-US"/>
        </w:rPr>
        <w:t xml:space="preserve">internships </w:t>
      </w:r>
      <w:r w:rsidR="008129F0" w:rsidRPr="0049359F">
        <w:rPr>
          <w:lang w:eastAsia="en-US"/>
        </w:rPr>
        <w:t xml:space="preserve">mentioned above. A key part of this </w:t>
      </w:r>
      <w:r w:rsidR="00AE278C" w:rsidRPr="0049359F">
        <w:rPr>
          <w:lang w:eastAsia="en-US"/>
        </w:rPr>
        <w:t>mechanism</w:t>
      </w:r>
      <w:r w:rsidR="008129F0" w:rsidRPr="0049359F">
        <w:rPr>
          <w:lang w:eastAsia="en-US"/>
        </w:rPr>
        <w:t xml:space="preserve"> would include establishing formal rules and </w:t>
      </w:r>
      <w:r w:rsidR="00260B9E" w:rsidRPr="0049359F">
        <w:rPr>
          <w:lang w:eastAsia="en-US"/>
        </w:rPr>
        <w:t>explicitly outlining expectations</w:t>
      </w:r>
      <w:r w:rsidR="00A147CA" w:rsidRPr="0049359F">
        <w:rPr>
          <w:lang w:eastAsia="en-US"/>
        </w:rPr>
        <w:t xml:space="preserve"> – as </w:t>
      </w:r>
      <w:r w:rsidR="00D006B9" w:rsidRPr="0049359F">
        <w:rPr>
          <w:lang w:eastAsia="en-US"/>
        </w:rPr>
        <w:t xml:space="preserve">they are shown to be less likely to be effectively utilised when left to be arranged by individuals </w:t>
      </w:r>
      <w:r w:rsidR="00D006B9" w:rsidRPr="0049359F">
        <w:rPr>
          <w:lang w:eastAsia="en-US"/>
        </w:rPr>
        <w:fldChar w:fldCharType="begin"/>
      </w:r>
      <w:r w:rsidR="00B10239" w:rsidRPr="0049359F">
        <w:rPr>
          <w:lang w:eastAsia="en-US"/>
        </w:rPr>
        <w:instrText xml:space="preserve"> ADDIN ZOTERO_ITEM CSL_CITATION {"citationID":"8Lshy7sE","properties":{"formattedCitation":"(Sasse &amp; Haddon, 2018)","plainCitation":"(Sasse &amp; Haddon, 2018)","noteIndex":0},"citationItems":[{"id":8607,"uris":["http://zotero.org/users/11793275/items/UA2UGL9M"],"itemData":{"id":8607,"type":"report","event-place":"London, UK","language":"en","publisher":"Institute for Government","publisher-place":"London, UK","source":"Zotero","title":"How government can work with academia","author":[{"family":"Sasse","given":"Tom"},{"family":"Haddon","given":"Catherine"}],"issued":{"date-parts":[["2018"]]}}}],"schema":"https://github.com/citation-style-language/schema/raw/master/csl-citation.json"} </w:instrText>
      </w:r>
      <w:r w:rsidR="00D006B9" w:rsidRPr="0049359F">
        <w:rPr>
          <w:lang w:eastAsia="en-US"/>
        </w:rPr>
        <w:fldChar w:fldCharType="separate"/>
      </w:r>
      <w:r w:rsidR="00B10239" w:rsidRPr="0049359F">
        <w:rPr>
          <w:rFonts w:ascii="Calibri" w:hAnsi="Calibri" w:cs="Calibri"/>
        </w:rPr>
        <w:t>(Sasse &amp; Haddon, 2018)</w:t>
      </w:r>
      <w:r w:rsidR="00D006B9" w:rsidRPr="0049359F">
        <w:rPr>
          <w:lang w:eastAsia="en-US"/>
        </w:rPr>
        <w:fldChar w:fldCharType="end"/>
      </w:r>
      <w:r w:rsidR="00260B9E" w:rsidRPr="0049359F">
        <w:rPr>
          <w:lang w:eastAsia="en-US"/>
        </w:rPr>
        <w:t xml:space="preserve">. </w:t>
      </w:r>
      <w:r w:rsidR="00AE278C" w:rsidRPr="0049359F">
        <w:rPr>
          <w:lang w:eastAsia="en-US"/>
        </w:rPr>
        <w:t xml:space="preserve">It has been shown that secondments with clear outcomes are most effective </w:t>
      </w:r>
      <w:r w:rsidR="00756BCF" w:rsidRPr="0049359F">
        <w:rPr>
          <w:lang w:eastAsia="en-US"/>
        </w:rPr>
        <w:t>-</w:t>
      </w:r>
      <w:r w:rsidRPr="0049359F">
        <w:rPr>
          <w:lang w:eastAsia="en-US"/>
        </w:rPr>
        <w:t xml:space="preserve">  even though the actual impact </w:t>
      </w:r>
      <w:r w:rsidR="00756BCF" w:rsidRPr="0049359F">
        <w:rPr>
          <w:lang w:eastAsia="en-US"/>
        </w:rPr>
        <w:t xml:space="preserve">of the secondments may be more relational </w:t>
      </w:r>
      <w:r w:rsidR="00756BCF" w:rsidRPr="0049359F">
        <w:rPr>
          <w:lang w:eastAsia="en-US"/>
        </w:rPr>
        <w:fldChar w:fldCharType="begin"/>
      </w:r>
      <w:r w:rsidR="00B10239" w:rsidRPr="0049359F">
        <w:rPr>
          <w:lang w:eastAsia="en-US"/>
        </w:rPr>
        <w:instrText xml:space="preserve"> ADDIN ZOTERO_ITEM CSL_CITATION {"citationID":"OXWFpNSr","properties":{"formattedCitation":"(O\\uc0\\u8217{}Donoughue Jenkins &amp; Anstey, 2017)","plainCitation":"(O’Donoughue Jenkins &amp; Anstey, 2017)","noteIndex":0},"citationItems":[{"id":597,"uris":["http://zotero.org/users/11793275/items/SWV9NDQC"],"itemData":{"id":597,"type":"article-journal","container-title":"Public Health Research &amp; Practice","issue":"1","note":"Citation Key: ODonoughueJenkins2017","title":"The use of secondments as a tool to increase knowledge translation","URL":"http://www.phrp.com.au/issues/february-2017-volume-27-issue-1-2/the-use-of-secondments-as-a-tool-to-increase-knowledge-translation/","volume":"27","author":[{"family":"O'Donoughue Jenkins","given":"Lily"},{"family":"Anstey","given":"Kaarin"}],"issued":{"date-parts":[["2017"]]}}}],"schema":"https://github.com/citation-style-language/schema/raw/master/csl-citation.json"} </w:instrText>
      </w:r>
      <w:r w:rsidR="00756BCF" w:rsidRPr="0049359F">
        <w:rPr>
          <w:lang w:eastAsia="en-US"/>
        </w:rPr>
        <w:fldChar w:fldCharType="separate"/>
      </w:r>
      <w:r w:rsidR="00B10239" w:rsidRPr="0049359F">
        <w:rPr>
          <w:rFonts w:ascii="Calibri" w:hAnsi="Calibri" w:cs="Calibri"/>
          <w:szCs w:val="24"/>
        </w:rPr>
        <w:t>(O’Donoughue Jenkins &amp; Anstey, 2017)</w:t>
      </w:r>
      <w:r w:rsidR="00756BCF" w:rsidRPr="0049359F">
        <w:rPr>
          <w:lang w:eastAsia="en-US"/>
        </w:rPr>
        <w:fldChar w:fldCharType="end"/>
      </w:r>
      <w:r w:rsidR="00A147CA" w:rsidRPr="0049359F">
        <w:rPr>
          <w:lang w:eastAsia="en-US"/>
        </w:rPr>
        <w:t>.</w:t>
      </w:r>
    </w:p>
    <w:p w:rsidR="001820FA" w:rsidRPr="0049359F" w:rsidRDefault="001820FA" w:rsidP="00E84510">
      <w:pPr>
        <w:rPr>
          <w:lang w:eastAsia="en-US"/>
        </w:rPr>
      </w:pPr>
    </w:p>
    <w:p w:rsidR="008E38DF" w:rsidRPr="0049359F" w:rsidRDefault="00DF1FFE" w:rsidP="00E84510">
      <w:pPr>
        <w:pStyle w:val="Heading3"/>
      </w:pPr>
      <w:r w:rsidRPr="0049359F">
        <w:t xml:space="preserve">Training </w:t>
      </w:r>
    </w:p>
    <w:p w:rsidR="00F12C08" w:rsidRPr="00A659DB" w:rsidRDefault="005C1799" w:rsidP="00E84510">
      <w:r w:rsidRPr="0049359F">
        <w:t xml:space="preserve">This possible model would give </w:t>
      </w:r>
      <w:r w:rsidR="00314CBF" w:rsidRPr="0049359F">
        <w:t xml:space="preserve">APS staff </w:t>
      </w:r>
      <w:r w:rsidRPr="0049359F">
        <w:t>access to</w:t>
      </w:r>
      <w:r w:rsidR="00314CBF" w:rsidRPr="0049359F">
        <w:t xml:space="preserve"> training in how to design and manage collaborative projec</w:t>
      </w:r>
      <w:r w:rsidRPr="0049359F">
        <w:t xml:space="preserve">ts. </w:t>
      </w:r>
      <w:r w:rsidRPr="0049359F">
        <w:rPr>
          <w:lang w:eastAsia="en-US"/>
        </w:rPr>
        <w:t xml:space="preserve">This training would align with </w:t>
      </w:r>
      <w:r w:rsidR="00044C3F" w:rsidRPr="0049359F">
        <w:rPr>
          <w:lang w:eastAsia="en-US"/>
        </w:rPr>
        <w:t xml:space="preserve">the strong focus in the </w:t>
      </w:r>
      <w:r w:rsidR="00044C3F" w:rsidRPr="0049359F">
        <w:rPr>
          <w:i/>
          <w:iCs/>
          <w:lang w:eastAsia="en-US"/>
        </w:rPr>
        <w:t>Independent Review of the APS</w:t>
      </w:r>
      <w:r w:rsidR="00044C3F" w:rsidRPr="0049359F">
        <w:t xml:space="preserve"> on partnership</w:t>
      </w:r>
      <w:r w:rsidR="00F94CBD" w:rsidRPr="0049359F">
        <w:t>, with academic partners, industry,</w:t>
      </w:r>
      <w:r w:rsidR="000258A1" w:rsidRPr="0049359F">
        <w:t xml:space="preserve"> states and territories and beyond. </w:t>
      </w:r>
      <w:r w:rsidR="00E72AAE" w:rsidRPr="0049359F">
        <w:t>This could be aligned with existing project management training – noting that there are unique characteristics within a public sector</w:t>
      </w:r>
      <w:r w:rsidRPr="0049359F">
        <w:t xml:space="preserve"> and </w:t>
      </w:r>
      <w:r w:rsidR="00E72AAE" w:rsidRPr="0049359F">
        <w:t>external partner</w:t>
      </w:r>
      <w:r w:rsidR="00E72AAE">
        <w:t xml:space="preserve"> collaborative project that would need to be explored. These include the </w:t>
      </w:r>
      <w:r w:rsidR="00A659DB">
        <w:t xml:space="preserve">risks highlighted in the </w:t>
      </w:r>
      <w:r w:rsidR="00A659DB" w:rsidRPr="00A659DB">
        <w:rPr>
          <w:i/>
          <w:iCs/>
        </w:rPr>
        <w:t>Independent Review of the APS</w:t>
      </w:r>
      <w:r w:rsidR="00A659DB">
        <w:t xml:space="preserve">, such as the </w:t>
      </w:r>
      <w:r w:rsidR="00891E57">
        <w:t>inclination</w:t>
      </w:r>
      <w:r w:rsidR="00A659DB">
        <w:t xml:space="preserve"> to manage stakeholders rather than collaborate with them, and </w:t>
      </w:r>
      <w:r w:rsidR="00F12C08">
        <w:t xml:space="preserve">“on the APS’s own terms —often after decisions have been made” (117). These require new ways of </w:t>
      </w:r>
      <w:r w:rsidR="003D6362">
        <w:t xml:space="preserve">designing partnerships, and training that goes beyond standard project management. </w:t>
      </w:r>
    </w:p>
    <w:p w:rsidR="00E65D76" w:rsidRDefault="002F55B3" w:rsidP="00E84510">
      <w:pPr>
        <w:rPr>
          <w:lang w:eastAsia="en-US"/>
        </w:rPr>
      </w:pPr>
      <w:r>
        <w:t xml:space="preserve">The University sector has invested in providing training and </w:t>
      </w:r>
      <w:r w:rsidR="00F254E5">
        <w:t xml:space="preserve">upskilling in how to generate impact or broker knowledge with the public sector, but also has limited training on the specifics of designing and delivering a </w:t>
      </w:r>
      <w:r w:rsidR="003D6362">
        <w:t xml:space="preserve">collaborative </w:t>
      </w:r>
      <w:r w:rsidR="00F254E5">
        <w:t xml:space="preserve">project. This is </w:t>
      </w:r>
      <w:r w:rsidR="003D6362">
        <w:t>a worthwhile avenue to explore, if only because</w:t>
      </w:r>
      <w:r w:rsidR="00F254E5">
        <w:t xml:space="preserve"> these skills would also be useful for the design and delivery of existing grants such as the </w:t>
      </w:r>
      <w:r w:rsidR="006D6C3A">
        <w:rPr>
          <w:rFonts w:ascii="Calibri" w:hAnsi="Calibri" w:cs="Calibri"/>
          <w:color w:val="242424"/>
          <w:shd w:val="clear" w:color="auto" w:fill="FFFFFF"/>
        </w:rPr>
        <w:t>ARC Linkage project program as well as the new Industry Linkage Fellowships scheme</w:t>
      </w:r>
      <w:r w:rsidR="00F254E5">
        <w:rPr>
          <w:rFonts w:ascii="Calibri" w:hAnsi="Calibri" w:cs="Calibri"/>
          <w:color w:val="242424"/>
          <w:shd w:val="clear" w:color="auto" w:fill="FFFFFF"/>
        </w:rPr>
        <w:t>.</w:t>
      </w:r>
    </w:p>
    <w:p w:rsidR="008E38DF" w:rsidRDefault="008E38DF" w:rsidP="00E84510">
      <w:pPr>
        <w:rPr>
          <w:lang w:eastAsia="en-US"/>
        </w:rPr>
      </w:pPr>
    </w:p>
    <w:p w:rsidR="008E38DF" w:rsidRPr="008C233A" w:rsidRDefault="008E38DF" w:rsidP="00E84510">
      <w:pPr>
        <w:pStyle w:val="Heading2"/>
        <w:rPr>
          <w:sz w:val="28"/>
        </w:rPr>
      </w:pPr>
      <w:bookmarkStart w:id="8" w:name="_Toc140834165"/>
      <w:r w:rsidRPr="008C233A">
        <w:rPr>
          <w:sz w:val="28"/>
        </w:rPr>
        <w:t>Delivery</w:t>
      </w:r>
      <w:bookmarkEnd w:id="8"/>
    </w:p>
    <w:p w:rsidR="00002708" w:rsidRPr="00E06E47" w:rsidRDefault="00036F3A" w:rsidP="00E84510">
      <w:r>
        <w:t xml:space="preserve">This stage represents the core of the collaboration, the delivery of the project itself. </w:t>
      </w:r>
      <w:r w:rsidR="00002708" w:rsidRPr="0039330F">
        <w:rPr>
          <w:b/>
          <w:bCs/>
        </w:rPr>
        <w:t xml:space="preserve">Appendix A: </w:t>
      </w:r>
      <w:r w:rsidR="00002708">
        <w:rPr>
          <w:b/>
          <w:bCs/>
        </w:rPr>
        <w:t>Further</w:t>
      </w:r>
      <w:r w:rsidR="00002708" w:rsidRPr="0039330F">
        <w:rPr>
          <w:b/>
          <w:bCs/>
        </w:rPr>
        <w:t xml:space="preserve"> reading</w:t>
      </w:r>
      <w:r w:rsidR="00002708">
        <w:rPr>
          <w:b/>
          <w:bCs/>
        </w:rPr>
        <w:t xml:space="preserve"> and research</w:t>
      </w:r>
      <w:r w:rsidR="00E06E47">
        <w:t xml:space="preserve"> </w:t>
      </w:r>
      <w:r w:rsidR="00394AE5">
        <w:t xml:space="preserve">demonstrates </w:t>
      </w:r>
      <w:r w:rsidR="00A7524D">
        <w:t xml:space="preserve">the importance of </w:t>
      </w:r>
      <w:r w:rsidR="0020431F">
        <w:t xml:space="preserve">building a strong relationship, and part of this involves </w:t>
      </w:r>
      <w:r w:rsidR="00266057">
        <w:t>both</w:t>
      </w:r>
      <w:r w:rsidR="003B2820">
        <w:t xml:space="preserve"> partners </w:t>
      </w:r>
      <w:r w:rsidR="0020431F">
        <w:t>u</w:t>
      </w:r>
      <w:r w:rsidR="003F1B95">
        <w:t xml:space="preserve">nderstanding the contextual, contingent and negotiated </w:t>
      </w:r>
      <w:r w:rsidR="00311DF7">
        <w:t>nature</w:t>
      </w:r>
      <w:r w:rsidR="0020431F">
        <w:t xml:space="preserve"> of knowledg</w:t>
      </w:r>
      <w:r w:rsidR="00266057">
        <w:t>e</w:t>
      </w:r>
      <w:r w:rsidR="0020431F">
        <w:t xml:space="preserve">. </w:t>
      </w:r>
      <w:r w:rsidR="00266057">
        <w:t xml:space="preserve">Moving away from a transmission model of knowledge requires </w:t>
      </w:r>
      <w:r w:rsidR="00741D69">
        <w:t xml:space="preserve">us to think more about how knowledge sharing and learning can be achieved practically. </w:t>
      </w:r>
      <w:r w:rsidR="00CA152C">
        <w:t xml:space="preserve">This may mean </w:t>
      </w:r>
      <w:r w:rsidR="00F72925">
        <w:t xml:space="preserve">sharing information </w:t>
      </w:r>
      <w:r w:rsidR="00EE53DD">
        <w:t xml:space="preserve">more </w:t>
      </w:r>
      <w:r w:rsidR="00F72925">
        <w:t>regularly in ‘bite-sized’ format</w:t>
      </w:r>
      <w:r w:rsidR="00C87648">
        <w:t xml:space="preserve"> o</w:t>
      </w:r>
      <w:r w:rsidR="007E2103">
        <w:t xml:space="preserve">r it may require building more easily searchable and useable databases. </w:t>
      </w:r>
      <w:r w:rsidR="00EE53DD">
        <w:t>It will also mean a greater focus on building trust and communicating honestly</w:t>
      </w:r>
      <w:r w:rsidR="000B55AD">
        <w:t xml:space="preserve"> – something which is best established during the design phase above, but will need to be regularly revisited</w:t>
      </w:r>
      <w:r w:rsidR="00C87648">
        <w:t>.</w:t>
      </w:r>
    </w:p>
    <w:p w:rsidR="001820FA" w:rsidRDefault="001820FA" w:rsidP="00E84510">
      <w:pPr>
        <w:rPr>
          <w:lang w:eastAsia="en-US"/>
        </w:rPr>
      </w:pPr>
    </w:p>
    <w:p w:rsidR="00843D1C" w:rsidRDefault="00EF2311" w:rsidP="00E84510">
      <w:pPr>
        <w:pStyle w:val="Heading3"/>
      </w:pPr>
      <w:r>
        <w:t>Knowledge management tools</w:t>
      </w:r>
    </w:p>
    <w:p w:rsidR="009821E6" w:rsidRDefault="000B55AD" w:rsidP="00E84510">
      <w:pPr>
        <w:rPr>
          <w:lang w:eastAsia="en-US"/>
        </w:rPr>
      </w:pPr>
      <w:r>
        <w:rPr>
          <w:lang w:eastAsia="en-US"/>
        </w:rPr>
        <w:t xml:space="preserve">In the UK </w:t>
      </w:r>
      <w:r w:rsidR="00843D1C" w:rsidRPr="00843D1C">
        <w:rPr>
          <w:lang w:eastAsia="en-US"/>
        </w:rPr>
        <w:t xml:space="preserve">a number of departments </w:t>
      </w:r>
      <w:r>
        <w:rPr>
          <w:lang w:eastAsia="en-US"/>
        </w:rPr>
        <w:t>are reported to hold</w:t>
      </w:r>
      <w:r w:rsidR="00843D1C" w:rsidRPr="00843D1C">
        <w:rPr>
          <w:lang w:eastAsia="en-US"/>
        </w:rPr>
        <w:t xml:space="preserve"> databases of stakeholders and academics and some have</w:t>
      </w:r>
      <w:r w:rsidR="00C87648">
        <w:rPr>
          <w:lang w:eastAsia="en-US"/>
        </w:rPr>
        <w:t xml:space="preserve"> a</w:t>
      </w:r>
      <w:r w:rsidR="00843D1C" w:rsidRPr="00843D1C">
        <w:rPr>
          <w:lang w:eastAsia="en-US"/>
        </w:rPr>
        <w:t xml:space="preserve"> database of reports they have produced.</w:t>
      </w:r>
      <w:r>
        <w:rPr>
          <w:lang w:eastAsia="en-US"/>
        </w:rPr>
        <w:t xml:space="preserve"> As noted by the </w:t>
      </w:r>
      <w:r w:rsidR="001C31EF" w:rsidRPr="001C31EF">
        <w:rPr>
          <w:lang w:eastAsia="en-US"/>
        </w:rPr>
        <w:t>Government Office for Scienc</w:t>
      </w:r>
      <w:r w:rsidR="001C31EF">
        <w:rPr>
          <w:lang w:eastAsia="en-US"/>
        </w:rPr>
        <w:t>e</w:t>
      </w:r>
      <w:r w:rsidR="009720BD">
        <w:rPr>
          <w:lang w:eastAsia="en-US"/>
        </w:rPr>
        <w:t xml:space="preserve"> (201</w:t>
      </w:r>
      <w:r w:rsidR="00E570C6">
        <w:rPr>
          <w:lang w:eastAsia="en-US"/>
        </w:rPr>
        <w:t>3)</w:t>
      </w:r>
      <w:r w:rsidR="001C31EF">
        <w:rPr>
          <w:lang w:eastAsia="en-US"/>
        </w:rPr>
        <w:t>, “t</w:t>
      </w:r>
      <w:r w:rsidR="00843D1C" w:rsidRPr="00843D1C">
        <w:rPr>
          <w:lang w:eastAsia="en-US"/>
        </w:rPr>
        <w:t>he ideal would be to have these databases not only accessible between departments, but also easy to search, although this is probably some way of</w:t>
      </w:r>
      <w:r w:rsidR="00394AE5">
        <w:rPr>
          <w:lang w:eastAsia="en-US"/>
        </w:rPr>
        <w:t>f…</w:t>
      </w:r>
      <w:r w:rsidR="00843D1C" w:rsidRPr="00843D1C">
        <w:rPr>
          <w:lang w:eastAsia="en-US"/>
        </w:rPr>
        <w:t xml:space="preserve"> social media may have an increasing role to play here</w:t>
      </w:r>
      <w:r w:rsidR="00A70B59">
        <w:rPr>
          <w:lang w:eastAsia="en-US"/>
        </w:rPr>
        <w:t>”</w:t>
      </w:r>
      <w:r w:rsidR="002B5CA7">
        <w:rPr>
          <w:lang w:eastAsia="en-US"/>
        </w:rPr>
        <w:t xml:space="preserve"> (25)</w:t>
      </w:r>
      <w:r w:rsidR="00843D1C" w:rsidRPr="00843D1C">
        <w:rPr>
          <w:lang w:eastAsia="en-US"/>
        </w:rPr>
        <w:t>.</w:t>
      </w:r>
      <w:r w:rsidR="002B5CA7">
        <w:rPr>
          <w:lang w:eastAsia="en-US"/>
        </w:rPr>
        <w:t xml:space="preserve"> It is a behavioural challenge that more information is rarely the best way to address </w:t>
      </w:r>
      <w:r w:rsidR="005F2E9B">
        <w:rPr>
          <w:lang w:eastAsia="en-US"/>
        </w:rPr>
        <w:t>a lack of knowledge</w:t>
      </w:r>
      <w:r w:rsidR="00B06869">
        <w:rPr>
          <w:lang w:eastAsia="en-US"/>
        </w:rPr>
        <w:t xml:space="preserve"> </w:t>
      </w:r>
      <w:r w:rsidR="009D5023">
        <w:rPr>
          <w:lang w:eastAsia="en-US"/>
        </w:rPr>
        <w:fldChar w:fldCharType="begin"/>
      </w:r>
      <w:r w:rsidR="00B10239">
        <w:rPr>
          <w:lang w:eastAsia="en-US"/>
        </w:rPr>
        <w:instrText xml:space="preserve"> ADDIN ZOTERO_ITEM CSL_CITATION {"citationID":"Bp5iylp2","properties":{"formattedCitation":"(Behavioural Economics Team of the Australian Government (BETA), 2018; Behavioural Insights Team, 2018)","plainCitation":"(Behavioural Economics Team of the Australian Government (BETA), 2018; Behavioural Insights Team, 2018)","noteIndex":0},"citationItems":[{"id":1250,"uris":["http://zotero.org/users/11793275/items/2TYPCEZJ"],"itemData":{"id":1250,"type":"document","note":"Citation Key: BehaviouralEconomicsTeamoftheAustralianGovernmentBETA2018\npublisher-place: Canberra, Australia","publisher":"Australian Government","title":"Saying more with less: Simplifying energy fact sheets","author":[{"literal":"Behavioural Economics Team of the Australian Government (BETA)"}],"editor":[{"family":"Cabinet","given":"Department of the Prime Minister","dropping-particle":"and"}],"issued":{"date-parts":[["2018"]]}}},{"id":623,"uris":["http://zotero.org/users/11793275/items/46EZF7ZM"],"itemData":{"id":623,"type":"document","note":"Citation Key: BehaviouralInsightsTeam2018\npublisher-place: London, UK","publisher":"Behavioural Insights Team","title":"Behavioural government","author":[{"literal":"Behavioural Insights Team"}],"editor":[{"family":"Team","given":"Behavioural Insights"}],"issued":{"date-parts":[["2018"]]}}}],"schema":"https://github.com/citation-style-language/schema/raw/master/csl-citation.json"} </w:instrText>
      </w:r>
      <w:r w:rsidR="009D5023">
        <w:rPr>
          <w:lang w:eastAsia="en-US"/>
        </w:rPr>
        <w:fldChar w:fldCharType="separate"/>
      </w:r>
      <w:r w:rsidR="00B10239" w:rsidRPr="00B10239">
        <w:rPr>
          <w:rFonts w:ascii="Calibri" w:hAnsi="Calibri" w:cs="Calibri"/>
        </w:rPr>
        <w:t>(Behavioural Economics Team of the Australian Government (BETA), 2018; Behavioural Insights Team, 2018)</w:t>
      </w:r>
      <w:r w:rsidR="009D5023">
        <w:rPr>
          <w:lang w:eastAsia="en-US"/>
        </w:rPr>
        <w:fldChar w:fldCharType="end"/>
      </w:r>
      <w:r w:rsidR="005F2E9B">
        <w:rPr>
          <w:lang w:eastAsia="en-US"/>
        </w:rPr>
        <w:t>. It is beneficial to provide access to reports and information but t</w:t>
      </w:r>
      <w:r w:rsidR="009821E6">
        <w:rPr>
          <w:lang w:eastAsia="en-US"/>
        </w:rPr>
        <w:t xml:space="preserve">he biggest challenge is generally accessibility and useability. </w:t>
      </w:r>
      <w:r w:rsidR="00891E57">
        <w:rPr>
          <w:lang w:eastAsia="en-US"/>
        </w:rPr>
        <w:t xml:space="preserve">Any resource developed </w:t>
      </w:r>
      <w:r w:rsidR="00C87648">
        <w:rPr>
          <w:lang w:eastAsia="en-US"/>
        </w:rPr>
        <w:t xml:space="preserve">should be </w:t>
      </w:r>
      <w:r w:rsidR="009720BD">
        <w:rPr>
          <w:lang w:eastAsia="en-US"/>
        </w:rPr>
        <w:t xml:space="preserve">useful for either the public sector or researchers. </w:t>
      </w:r>
      <w:r w:rsidR="00B06869">
        <w:rPr>
          <w:lang w:eastAsia="en-US"/>
        </w:rPr>
        <w:t xml:space="preserve">This will be important to take into consideration with this mechanism. </w:t>
      </w:r>
    </w:p>
    <w:p w:rsidR="00C50B7C" w:rsidRDefault="00C50B7C" w:rsidP="00E84510">
      <w:pPr>
        <w:rPr>
          <w:lang w:eastAsia="en-US"/>
        </w:rPr>
      </w:pPr>
    </w:p>
    <w:p w:rsidR="00EF2311" w:rsidRDefault="00413F0F" w:rsidP="00E84510">
      <w:pPr>
        <w:pStyle w:val="Heading3"/>
      </w:pPr>
      <w:r>
        <w:t>Training an</w:t>
      </w:r>
      <w:r w:rsidR="005266CC">
        <w:t xml:space="preserve">d </w:t>
      </w:r>
      <w:r>
        <w:t xml:space="preserve">mentoring in </w:t>
      </w:r>
      <w:r w:rsidR="00EA09D3">
        <w:t>communication</w:t>
      </w:r>
      <w:r w:rsidR="00EF2311">
        <w:t xml:space="preserve"> </w:t>
      </w:r>
      <w:r>
        <w:t>skills</w:t>
      </w:r>
    </w:p>
    <w:p w:rsidR="00E65D76" w:rsidRPr="00BA46D1" w:rsidRDefault="007B6F1C" w:rsidP="00E84510">
      <w:pPr>
        <w:pStyle w:val="NoSpacing"/>
        <w:rPr>
          <w:lang w:eastAsia="en-US"/>
        </w:rPr>
      </w:pPr>
      <w:r w:rsidRPr="00BA46D1">
        <w:rPr>
          <w:sz w:val="22"/>
          <w:lang w:eastAsia="en-US"/>
        </w:rPr>
        <w:t>In addition to the</w:t>
      </w:r>
      <w:r w:rsidR="00EA09D3">
        <w:rPr>
          <w:sz w:val="22"/>
          <w:lang w:eastAsia="en-US"/>
        </w:rPr>
        <w:t xml:space="preserve"> project management and partnership</w:t>
      </w:r>
      <w:r w:rsidRPr="00BA46D1">
        <w:rPr>
          <w:sz w:val="22"/>
          <w:lang w:eastAsia="en-US"/>
        </w:rPr>
        <w:t xml:space="preserve"> training mentioned above</w:t>
      </w:r>
      <w:r w:rsidR="00394AE5" w:rsidRPr="00BA46D1">
        <w:rPr>
          <w:sz w:val="22"/>
          <w:lang w:eastAsia="en-US"/>
        </w:rPr>
        <w:t xml:space="preserve"> under design</w:t>
      </w:r>
      <w:r w:rsidRPr="00BA46D1">
        <w:rPr>
          <w:sz w:val="22"/>
          <w:lang w:eastAsia="en-US"/>
        </w:rPr>
        <w:t xml:space="preserve">, there is </w:t>
      </w:r>
      <w:r w:rsidR="008E7510" w:rsidRPr="00BA46D1">
        <w:rPr>
          <w:sz w:val="22"/>
          <w:lang w:eastAsia="en-US"/>
        </w:rPr>
        <w:t>also</w:t>
      </w:r>
      <w:r w:rsidR="00E132AC" w:rsidRPr="00BA46D1">
        <w:rPr>
          <w:sz w:val="22"/>
          <w:lang w:eastAsia="en-US"/>
        </w:rPr>
        <w:t xml:space="preserve"> value in </w:t>
      </w:r>
      <w:r w:rsidR="00FB2DB3" w:rsidRPr="00BA46D1">
        <w:rPr>
          <w:sz w:val="22"/>
          <w:lang w:eastAsia="en-US"/>
        </w:rPr>
        <w:t xml:space="preserve">exploring specific training in how to deliver and communicate research results in a way that allows for more effective policy learning and translation to occur. This could take the form of additional training </w:t>
      </w:r>
      <w:r w:rsidR="00A94B90" w:rsidRPr="00BA46D1">
        <w:rPr>
          <w:sz w:val="22"/>
          <w:lang w:eastAsia="en-US"/>
        </w:rPr>
        <w:t>for academic partners, or</w:t>
      </w:r>
      <w:r w:rsidR="008A21E9" w:rsidRPr="00BA46D1">
        <w:rPr>
          <w:sz w:val="22"/>
          <w:lang w:eastAsia="en-US"/>
        </w:rPr>
        <w:t xml:space="preserve"> it could also be </w:t>
      </w:r>
      <w:r w:rsidR="00C5437A" w:rsidRPr="00BA46D1">
        <w:rPr>
          <w:sz w:val="22"/>
          <w:lang w:eastAsia="en-US"/>
        </w:rPr>
        <w:t xml:space="preserve">supported by </w:t>
      </w:r>
      <w:r w:rsidR="00EA09D3">
        <w:rPr>
          <w:sz w:val="22"/>
          <w:lang w:eastAsia="en-US"/>
        </w:rPr>
        <w:t>ensuring</w:t>
      </w:r>
      <w:r w:rsidR="007B0177" w:rsidRPr="00BA46D1">
        <w:rPr>
          <w:sz w:val="22"/>
          <w:lang w:eastAsia="en-US"/>
        </w:rPr>
        <w:t xml:space="preserve"> additional funding </w:t>
      </w:r>
      <w:r w:rsidR="00EA09D3">
        <w:rPr>
          <w:sz w:val="22"/>
          <w:lang w:eastAsia="en-US"/>
        </w:rPr>
        <w:t xml:space="preserve">is provided </w:t>
      </w:r>
      <w:r w:rsidR="00C5437A" w:rsidRPr="00BA46D1">
        <w:rPr>
          <w:sz w:val="22"/>
          <w:lang w:eastAsia="en-US"/>
        </w:rPr>
        <w:t xml:space="preserve">in projects </w:t>
      </w:r>
      <w:r w:rsidR="00697510" w:rsidRPr="00BA46D1">
        <w:rPr>
          <w:sz w:val="22"/>
          <w:lang w:eastAsia="en-US"/>
        </w:rPr>
        <w:t xml:space="preserve">for the purposes of </w:t>
      </w:r>
      <w:r w:rsidR="008A21E9" w:rsidRPr="00BA46D1">
        <w:rPr>
          <w:sz w:val="22"/>
          <w:lang w:eastAsia="en-US"/>
        </w:rPr>
        <w:t>produc</w:t>
      </w:r>
      <w:r w:rsidR="00697510" w:rsidRPr="00BA46D1">
        <w:rPr>
          <w:sz w:val="22"/>
          <w:lang w:eastAsia="en-US"/>
        </w:rPr>
        <w:t>ing</w:t>
      </w:r>
      <w:r w:rsidR="007B0177" w:rsidRPr="00BA46D1">
        <w:rPr>
          <w:sz w:val="22"/>
          <w:lang w:eastAsia="en-US"/>
        </w:rPr>
        <w:t xml:space="preserve"> </w:t>
      </w:r>
      <w:r w:rsidR="008A21E9" w:rsidRPr="00BA46D1">
        <w:rPr>
          <w:sz w:val="22"/>
          <w:lang w:eastAsia="en-US"/>
        </w:rPr>
        <w:t xml:space="preserve">regular </w:t>
      </w:r>
      <w:r w:rsidR="008B3494" w:rsidRPr="00BA46D1">
        <w:rPr>
          <w:sz w:val="22"/>
          <w:lang w:eastAsia="en-US"/>
        </w:rPr>
        <w:t xml:space="preserve">blogs, short policy briefs, podcasts, </w:t>
      </w:r>
      <w:r w:rsidR="000672D1" w:rsidRPr="00BA46D1">
        <w:rPr>
          <w:sz w:val="22"/>
          <w:lang w:eastAsia="en-US"/>
        </w:rPr>
        <w:t xml:space="preserve">and other forms of </w:t>
      </w:r>
      <w:r w:rsidR="008B3494" w:rsidRPr="00BA46D1">
        <w:rPr>
          <w:sz w:val="22"/>
          <w:lang w:eastAsia="en-US"/>
        </w:rPr>
        <w:t>media engagement.</w:t>
      </w:r>
      <w:r w:rsidR="00C5437A" w:rsidRPr="00BA46D1">
        <w:rPr>
          <w:sz w:val="22"/>
          <w:lang w:eastAsia="en-US"/>
        </w:rPr>
        <w:t xml:space="preserve"> These activities are not currently well-supported </w:t>
      </w:r>
      <w:r w:rsidR="008A21E9" w:rsidRPr="00BA46D1">
        <w:rPr>
          <w:sz w:val="22"/>
          <w:lang w:eastAsia="en-US"/>
        </w:rPr>
        <w:t>as an academic output by</w:t>
      </w:r>
      <w:r w:rsidR="00C5437A" w:rsidRPr="00BA46D1">
        <w:rPr>
          <w:sz w:val="22"/>
          <w:lang w:eastAsia="en-US"/>
        </w:rPr>
        <w:t xml:space="preserve"> the University sector and </w:t>
      </w:r>
      <w:r w:rsidR="008B0C23" w:rsidRPr="00BA46D1">
        <w:rPr>
          <w:sz w:val="22"/>
          <w:lang w:eastAsia="en-US"/>
        </w:rPr>
        <w:t xml:space="preserve">the amount of labour involved is </w:t>
      </w:r>
      <w:r w:rsidR="008A21E9" w:rsidRPr="00BA46D1">
        <w:rPr>
          <w:sz w:val="22"/>
          <w:lang w:eastAsia="en-US"/>
        </w:rPr>
        <w:t xml:space="preserve">often </w:t>
      </w:r>
      <w:r w:rsidR="008B0C23" w:rsidRPr="00BA46D1">
        <w:rPr>
          <w:sz w:val="22"/>
          <w:lang w:eastAsia="en-US"/>
        </w:rPr>
        <w:t>underestimated. Producing policy-relevant content</w:t>
      </w:r>
      <w:r w:rsidR="00697510" w:rsidRPr="00BA46D1">
        <w:rPr>
          <w:sz w:val="22"/>
          <w:lang w:eastAsia="en-US"/>
        </w:rPr>
        <w:t xml:space="preserve"> also</w:t>
      </w:r>
      <w:r w:rsidR="008B0C23" w:rsidRPr="00BA46D1">
        <w:rPr>
          <w:sz w:val="22"/>
          <w:lang w:eastAsia="en-US"/>
        </w:rPr>
        <w:t xml:space="preserve"> </w:t>
      </w:r>
      <w:r w:rsidR="000672D1" w:rsidRPr="00BA46D1">
        <w:rPr>
          <w:sz w:val="22"/>
          <w:lang w:eastAsia="en-US"/>
        </w:rPr>
        <w:t>requires a specific set of skills not always well aligned with the skills of an academic researcher.</w:t>
      </w:r>
      <w:r w:rsidR="00413F0F" w:rsidRPr="00BA46D1">
        <w:rPr>
          <w:sz w:val="22"/>
          <w:lang w:eastAsia="en-US"/>
        </w:rPr>
        <w:t xml:space="preserve"> T</w:t>
      </w:r>
      <w:r w:rsidR="005266CC">
        <w:rPr>
          <w:sz w:val="22"/>
          <w:lang w:eastAsia="en-US"/>
        </w:rPr>
        <w:t xml:space="preserve">raining </w:t>
      </w:r>
      <w:r w:rsidR="00413F0F" w:rsidRPr="00BA46D1">
        <w:rPr>
          <w:sz w:val="22"/>
          <w:lang w:eastAsia="en-US"/>
        </w:rPr>
        <w:t>could be provided either by the University</w:t>
      </w:r>
      <w:r w:rsidR="00EA09D3">
        <w:rPr>
          <w:sz w:val="22"/>
          <w:lang w:eastAsia="en-US"/>
        </w:rPr>
        <w:t>,</w:t>
      </w:r>
      <w:r w:rsidR="00413F0F" w:rsidRPr="00BA46D1">
        <w:rPr>
          <w:sz w:val="22"/>
          <w:lang w:eastAsia="en-US"/>
        </w:rPr>
        <w:t xml:space="preserve"> </w:t>
      </w:r>
      <w:r w:rsidR="00EA09D3">
        <w:rPr>
          <w:sz w:val="22"/>
          <w:lang w:eastAsia="en-US"/>
        </w:rPr>
        <w:t xml:space="preserve">the </w:t>
      </w:r>
      <w:r w:rsidR="00413F0F" w:rsidRPr="00BA46D1">
        <w:rPr>
          <w:sz w:val="22"/>
          <w:lang w:eastAsia="en-US"/>
        </w:rPr>
        <w:t>relevant government agency</w:t>
      </w:r>
      <w:r w:rsidR="00EA09D3">
        <w:rPr>
          <w:sz w:val="22"/>
          <w:lang w:eastAsia="en-US"/>
        </w:rPr>
        <w:t xml:space="preserve"> or </w:t>
      </w:r>
      <w:r w:rsidR="004A2C87">
        <w:rPr>
          <w:sz w:val="22"/>
          <w:lang w:eastAsia="en-US"/>
        </w:rPr>
        <w:t xml:space="preserve">through a knowledge broker. </w:t>
      </w:r>
    </w:p>
    <w:p w:rsidR="001820FA" w:rsidRPr="0073500F" w:rsidRDefault="001820FA" w:rsidP="00E84510">
      <w:pPr>
        <w:rPr>
          <w:b/>
          <w:bCs/>
          <w:lang w:eastAsia="en-US"/>
        </w:rPr>
      </w:pPr>
    </w:p>
    <w:p w:rsidR="008E38DF" w:rsidRDefault="008E38DF" w:rsidP="00E84510">
      <w:pPr>
        <w:pStyle w:val="Heading2"/>
      </w:pPr>
      <w:bookmarkStart w:id="9" w:name="_Toc140834166"/>
      <w:r w:rsidRPr="008C233A">
        <w:rPr>
          <w:sz w:val="28"/>
        </w:rPr>
        <w:t>Review</w:t>
      </w:r>
      <w:bookmarkEnd w:id="9"/>
    </w:p>
    <w:p w:rsidR="008E38DF" w:rsidRDefault="00A16A2F" w:rsidP="008A24A5">
      <w:pPr>
        <w:rPr>
          <w:lang w:eastAsia="en-US"/>
        </w:rPr>
      </w:pPr>
      <w:r>
        <w:t xml:space="preserve">This is the stage where collaborators should evaluate or review the processes, practices and outcomes of the </w:t>
      </w:r>
      <w:r w:rsidRPr="00697510">
        <w:rPr>
          <w:u w:val="single"/>
        </w:rPr>
        <w:t>collaboration</w:t>
      </w:r>
      <w:r>
        <w:t xml:space="preserve"> to see what worked, and what lessons were learned. </w:t>
      </w:r>
      <w:r w:rsidR="001207D8">
        <w:t xml:space="preserve">Given the renewed focus on evaluation in the APS, it would be equally important to begin building in reflective, formative evaluation which can help us better understand what works </w:t>
      </w:r>
      <w:r w:rsidR="00CA3F7E">
        <w:t xml:space="preserve">to best support the use of research in policy. </w:t>
      </w:r>
    </w:p>
    <w:p w:rsidR="00980743" w:rsidRDefault="00980743" w:rsidP="008A24A5">
      <w:pPr>
        <w:rPr>
          <w:lang w:eastAsia="en-US"/>
        </w:rPr>
      </w:pPr>
    </w:p>
    <w:p w:rsidR="00192F28" w:rsidRPr="00891E57" w:rsidRDefault="00192F28" w:rsidP="00E84510">
      <w:pPr>
        <w:pStyle w:val="Heading3"/>
      </w:pPr>
      <w:r w:rsidRPr="00891E57">
        <w:t>Sharing lessons learned</w:t>
      </w:r>
    </w:p>
    <w:p w:rsidR="00D951E7" w:rsidRPr="00891E57" w:rsidRDefault="00CA3F7E" w:rsidP="00E84510">
      <w:r w:rsidRPr="00891E57">
        <w:t>Formative, process focused evaluations provide valuable lessons</w:t>
      </w:r>
      <w:r w:rsidR="00855E6A" w:rsidRPr="00891E57">
        <w:t>. I</w:t>
      </w:r>
      <w:r w:rsidR="00D951E7" w:rsidRPr="00891E57">
        <w:t>deal</w:t>
      </w:r>
      <w:r w:rsidR="00855E6A" w:rsidRPr="00891E57">
        <w:t>ly</w:t>
      </w:r>
      <w:r w:rsidR="005266CC" w:rsidRPr="00891E57">
        <w:t>,</w:t>
      </w:r>
      <w:r w:rsidR="00855E6A" w:rsidRPr="00891E57">
        <w:t xml:space="preserve"> learning can be p</w:t>
      </w:r>
      <w:r w:rsidR="00D951E7" w:rsidRPr="00891E57">
        <w:t>ublish</w:t>
      </w:r>
      <w:r w:rsidR="004A6821" w:rsidRPr="00891E57">
        <w:t>ed</w:t>
      </w:r>
      <w:r w:rsidR="00855E6A" w:rsidRPr="00891E57">
        <w:t xml:space="preserve"> </w:t>
      </w:r>
      <w:r w:rsidR="00D951E7" w:rsidRPr="00891E57">
        <w:t xml:space="preserve">broadly, for departments, governments and the public to learn from and to improve transparency and trust. </w:t>
      </w:r>
    </w:p>
    <w:p w:rsidR="00A76627" w:rsidRPr="00891E57" w:rsidRDefault="005067B5" w:rsidP="00E84510">
      <w:pPr>
        <w:spacing w:after="0"/>
      </w:pPr>
      <w:r w:rsidRPr="00891E57">
        <w:t xml:space="preserve">There are many ways this could be achieved. </w:t>
      </w:r>
      <w:r w:rsidR="00132AD7" w:rsidRPr="00891E57">
        <w:t xml:space="preserve">Some examples are provided </w:t>
      </w:r>
      <w:r w:rsidR="00A76627" w:rsidRPr="00891E57">
        <w:t xml:space="preserve">in </w:t>
      </w:r>
      <w:r w:rsidR="001207D8" w:rsidRPr="00891E57">
        <w:rPr>
          <w:b/>
          <w:bCs/>
        </w:rPr>
        <w:t>Appendix A: Further reading and research</w:t>
      </w:r>
      <w:r w:rsidR="00132AD7" w:rsidRPr="00891E57">
        <w:rPr>
          <w:b/>
          <w:bCs/>
        </w:rPr>
        <w:t xml:space="preserve"> </w:t>
      </w:r>
      <w:r w:rsidR="00132AD7" w:rsidRPr="00891E57">
        <w:t>and summarised below:</w:t>
      </w:r>
    </w:p>
    <w:p w:rsidR="00716A86" w:rsidRPr="008B6345" w:rsidRDefault="008B6345" w:rsidP="00E84510">
      <w:pPr>
        <w:pStyle w:val="ListParagraph"/>
        <w:numPr>
          <w:ilvl w:val="0"/>
          <w:numId w:val="46"/>
        </w:numPr>
        <w:spacing w:after="0"/>
      </w:pPr>
      <w:r w:rsidRPr="00891E57">
        <w:t>C</w:t>
      </w:r>
      <w:r w:rsidR="00E64271" w:rsidRPr="00891E57">
        <w:t>ritical-incident/</w:t>
      </w:r>
      <w:r w:rsidR="00E64271" w:rsidRPr="008B6345">
        <w:t>near-miss reporting systems</w:t>
      </w:r>
    </w:p>
    <w:p w:rsidR="004037C7" w:rsidRPr="008B6345" w:rsidRDefault="006F1B83" w:rsidP="00E84510">
      <w:pPr>
        <w:pStyle w:val="ListParagraph"/>
        <w:numPr>
          <w:ilvl w:val="0"/>
          <w:numId w:val="46"/>
        </w:numPr>
        <w:spacing w:after="0"/>
      </w:pPr>
      <w:r w:rsidRPr="008B6345">
        <w:t>Adopting ‘whole system in the room’ debriefs</w:t>
      </w:r>
    </w:p>
    <w:p w:rsidR="006F1B83" w:rsidRPr="008B6345" w:rsidRDefault="005C19D4" w:rsidP="00E84510">
      <w:pPr>
        <w:pStyle w:val="ListParagraph"/>
        <w:numPr>
          <w:ilvl w:val="0"/>
          <w:numId w:val="46"/>
        </w:numPr>
        <w:spacing w:after="0"/>
      </w:pPr>
      <w:r w:rsidRPr="008B6345">
        <w:t>‘Learning from our stakeholders’ exercises</w:t>
      </w:r>
    </w:p>
    <w:p w:rsidR="006F1B83" w:rsidRDefault="008B6345" w:rsidP="00E84510">
      <w:pPr>
        <w:pStyle w:val="ListParagraph"/>
        <w:numPr>
          <w:ilvl w:val="0"/>
          <w:numId w:val="46"/>
        </w:numPr>
      </w:pPr>
      <w:r w:rsidRPr="008B6345">
        <w:t>Training evaluators across the APS in the methodology and tools of positive policy evaluation</w:t>
      </w:r>
    </w:p>
    <w:p w:rsidR="00CA1EEE" w:rsidRDefault="005266CC" w:rsidP="00E84510">
      <w:pPr>
        <w:rPr>
          <w:lang w:eastAsia="en-US"/>
        </w:rPr>
      </w:pPr>
      <w:r>
        <w:rPr>
          <w:lang w:eastAsia="en-US"/>
        </w:rPr>
        <w:t>M</w:t>
      </w:r>
      <w:r w:rsidR="005067B5">
        <w:rPr>
          <w:lang w:eastAsia="en-US"/>
        </w:rPr>
        <w:t xml:space="preserve">any examples of best practice exist but these cases are not </w:t>
      </w:r>
      <w:r>
        <w:rPr>
          <w:lang w:eastAsia="en-US"/>
        </w:rPr>
        <w:t xml:space="preserve">generally </w:t>
      </w:r>
      <w:r w:rsidR="005067B5">
        <w:rPr>
          <w:lang w:eastAsia="en-US"/>
        </w:rPr>
        <w:t>share</w:t>
      </w:r>
      <w:r>
        <w:rPr>
          <w:lang w:eastAsia="en-US"/>
        </w:rPr>
        <w:t>d</w:t>
      </w:r>
      <w:r w:rsidR="008B6345">
        <w:rPr>
          <w:lang w:eastAsia="en-US"/>
        </w:rPr>
        <w:t xml:space="preserve"> broadly</w:t>
      </w:r>
      <w:r w:rsidR="005067B5">
        <w:rPr>
          <w:lang w:eastAsia="en-US"/>
        </w:rPr>
        <w:t xml:space="preserve">. </w:t>
      </w:r>
      <w:r w:rsidR="00A01EC5">
        <w:rPr>
          <w:lang w:eastAsia="en-US"/>
        </w:rPr>
        <w:t>C</w:t>
      </w:r>
      <w:r w:rsidR="005067B5">
        <w:rPr>
          <w:lang w:eastAsia="en-US"/>
        </w:rPr>
        <w:t xml:space="preserve">ase studies and research </w:t>
      </w:r>
      <w:r w:rsidR="00A01EC5">
        <w:rPr>
          <w:lang w:eastAsia="en-US"/>
        </w:rPr>
        <w:t>on</w:t>
      </w:r>
      <w:r w:rsidR="005067B5">
        <w:rPr>
          <w:lang w:eastAsia="en-US"/>
        </w:rPr>
        <w:t xml:space="preserve"> the </w:t>
      </w:r>
      <w:r w:rsidR="00A01EC5">
        <w:rPr>
          <w:lang w:eastAsia="en-US"/>
        </w:rPr>
        <w:t xml:space="preserve">broad </w:t>
      </w:r>
      <w:r w:rsidR="005067B5">
        <w:rPr>
          <w:lang w:eastAsia="en-US"/>
        </w:rPr>
        <w:t>processes of collaboration, learning and policy design</w:t>
      </w:r>
      <w:r w:rsidR="00A01EC5">
        <w:rPr>
          <w:lang w:eastAsia="en-US"/>
        </w:rPr>
        <w:t xml:space="preserve"> </w:t>
      </w:r>
      <w:r w:rsidR="005067B5">
        <w:rPr>
          <w:lang w:eastAsia="en-US"/>
        </w:rPr>
        <w:t xml:space="preserve">will be an important way to support the development of better practice in future. </w:t>
      </w:r>
      <w:r w:rsidR="004037C7">
        <w:rPr>
          <w:lang w:eastAsia="en-US"/>
        </w:rPr>
        <w:t>An example is provided</w:t>
      </w:r>
      <w:r w:rsidR="00A01EC5">
        <w:rPr>
          <w:lang w:eastAsia="en-US"/>
        </w:rPr>
        <w:t xml:space="preserve"> </w:t>
      </w:r>
      <w:r w:rsidR="004037C7">
        <w:rPr>
          <w:lang w:eastAsia="en-US"/>
        </w:rPr>
        <w:t xml:space="preserve">in </w:t>
      </w:r>
      <w:r w:rsidR="00A01EC5">
        <w:rPr>
          <w:lang w:eastAsia="en-US"/>
        </w:rPr>
        <w:t xml:space="preserve">the below </w:t>
      </w:r>
      <w:r w:rsidR="004037C7">
        <w:rPr>
          <w:lang w:eastAsia="en-US"/>
        </w:rPr>
        <w:t>case study</w:t>
      </w:r>
      <w:r w:rsidR="005067B5">
        <w:rPr>
          <w:lang w:eastAsia="en-US"/>
        </w:rPr>
        <w:t xml:space="preserve"> which highlights some key points that we have covered in this discussion paper</w:t>
      </w:r>
      <w:r w:rsidR="004037C7">
        <w:rPr>
          <w:lang w:eastAsia="en-US"/>
        </w:rPr>
        <w:t xml:space="preserve">. </w:t>
      </w:r>
      <w:r w:rsidR="00D951E7">
        <w:rPr>
          <w:lang w:eastAsia="en-US"/>
        </w:rPr>
        <w:t xml:space="preserve">Ball (2023) was invited to </w:t>
      </w:r>
      <w:r w:rsidR="00D42F55">
        <w:rPr>
          <w:lang w:eastAsia="en-US"/>
        </w:rPr>
        <w:t xml:space="preserve">undertake an ethnographic study of how the Behavioural Economics Team of the Australian Government worked with its partners to develop policy. </w:t>
      </w:r>
      <w:r w:rsidR="00CA1EEE">
        <w:rPr>
          <w:lang w:eastAsia="en-US"/>
        </w:rPr>
        <w:t>The book was the result of 6 months of embedded research and h</w:t>
      </w:r>
      <w:r w:rsidR="00A01EC5">
        <w:rPr>
          <w:lang w:eastAsia="en-US"/>
        </w:rPr>
        <w:t xml:space="preserve">elped </w:t>
      </w:r>
      <w:r w:rsidR="00CA1EEE">
        <w:rPr>
          <w:lang w:eastAsia="en-US"/>
        </w:rPr>
        <w:t xml:space="preserve">develop theories about how new ideas are translated into policy practice. This </w:t>
      </w:r>
      <w:r w:rsidR="004F6B4D">
        <w:rPr>
          <w:lang w:eastAsia="en-US"/>
        </w:rPr>
        <w:t>project offered a highly valuable opportunity for an academic to engage with practice.</w:t>
      </w:r>
    </w:p>
    <w:p w:rsidR="008B6345" w:rsidRDefault="008B6345" w:rsidP="00E84510">
      <w:pPr>
        <w:rPr>
          <w:lang w:eastAsia="en-US"/>
        </w:rPr>
      </w:pPr>
      <w:r>
        <w:rPr>
          <w:lang w:eastAsia="en-US"/>
        </w:rPr>
        <w:t xml:space="preserve">Another possibility is using PhD internships or research secondments for this purpose. </w:t>
      </w:r>
    </w:p>
    <w:p w:rsidR="00221BAC" w:rsidRDefault="00221BAC" w:rsidP="00E84510">
      <w:pPr>
        <w:rPr>
          <w:lang w:eastAsia="en-US"/>
        </w:rPr>
      </w:pPr>
    </w:p>
    <w:p w:rsidR="00002D9F" w:rsidRPr="00651170" w:rsidRDefault="007D324D" w:rsidP="00E84510">
      <w:pPr>
        <w:pStyle w:val="Heading4"/>
      </w:pPr>
      <w:r>
        <w:t xml:space="preserve">Example </w:t>
      </w:r>
      <w:r w:rsidR="00002D9F" w:rsidRPr="00651170">
        <w:t>Case Study: BETA</w:t>
      </w:r>
    </w:p>
    <w:p w:rsidR="00002D9F" w:rsidRDefault="00002D9F" w:rsidP="00E84510">
      <w:r>
        <w:t>An interesting case for consideration is that of the Behavioural Economics Team of the Australian Government (BETA)</w:t>
      </w:r>
      <w:r w:rsidR="00A01EC5">
        <w:t xml:space="preserve">, </w:t>
      </w:r>
      <w:r>
        <w:t>established in 2016</w:t>
      </w:r>
      <w:r w:rsidR="00A01EC5">
        <w:t xml:space="preserve">. BETA’s </w:t>
      </w:r>
      <w:r>
        <w:t xml:space="preserve">primary role is to work in partnership with government departments to design and develop projects which </w:t>
      </w:r>
      <w:r w:rsidRPr="001C5B35">
        <w:t>apply behavioural insights (BI) to public policy.</w:t>
      </w:r>
      <w:r>
        <w:t xml:space="preserve"> </w:t>
      </w:r>
    </w:p>
    <w:p w:rsidR="00002D9F" w:rsidRDefault="00002D9F" w:rsidP="00E84510">
      <w:r>
        <w:t xml:space="preserve">The team has a 4 step process to designing a project – discovery, diagnosis, design, and delivery (similar to </w:t>
      </w:r>
      <w:r w:rsidR="00A01EC5">
        <w:t xml:space="preserve">the stages </w:t>
      </w:r>
      <w:r>
        <w:t>explored in this discussion paper).</w:t>
      </w:r>
      <w:r w:rsidRPr="00F472A4">
        <w:t xml:space="preserve"> While each stage has a different focus, the process is not </w:t>
      </w:r>
      <w:r>
        <w:t xml:space="preserve">expected to be </w:t>
      </w:r>
      <w:r w:rsidRPr="00F472A4">
        <w:t>linear.</w:t>
      </w:r>
      <w:r>
        <w:t xml:space="preserve"> The team acknowledge that it is important to be thinking about how to evaluate from the </w:t>
      </w:r>
      <w:r w:rsidR="00CE5EB3">
        <w:t>beginning and</w:t>
      </w:r>
      <w:r w:rsidRPr="00F472A4">
        <w:t xml:space="preserve"> be open to reconsidering the </w:t>
      </w:r>
      <w:r>
        <w:t>problem definition during the design phase</w:t>
      </w:r>
      <w:r w:rsidRPr="00F472A4">
        <w:t>.</w:t>
      </w:r>
    </w:p>
    <w:p w:rsidR="00002D9F" w:rsidRDefault="00002D9F" w:rsidP="00E84510">
      <w:r>
        <w:t xml:space="preserve">BETA have also used academic advisory models – both secondments and an external brokerage model. For an example see: </w:t>
      </w:r>
      <w:hyperlink r:id="rId11" w:history="1">
        <w:r w:rsidRPr="00E22834">
          <w:rPr>
            <w:rStyle w:val="Hyperlink"/>
          </w:rPr>
          <w:t>https://behaviouraleconomics.pmc.gov.au/blog/strengthening-links-academia</w:t>
        </w:r>
      </w:hyperlink>
    </w:p>
    <w:p w:rsidR="00002D9F" w:rsidRDefault="00002D9F" w:rsidP="00E84510">
      <w:r>
        <w:t xml:space="preserve">BETA provided </w:t>
      </w:r>
      <w:r w:rsidR="005067B5">
        <w:t xml:space="preserve">specialised </w:t>
      </w:r>
      <w:r>
        <w:t xml:space="preserve">training in BI for the public sector. This helped </w:t>
      </w:r>
      <w:r w:rsidR="00A01EC5">
        <w:t xml:space="preserve">to </w:t>
      </w:r>
      <w:r>
        <w:t>define key terms and to speak the same language when developing projects. They also occasionally partnered with academics, and had seconded PhD students, when developing projects. These two strategies allowed BETA to build</w:t>
      </w:r>
      <w:r w:rsidR="00A01EC5">
        <w:t xml:space="preserve"> </w:t>
      </w:r>
      <w:r>
        <w:t xml:space="preserve">stronger engagement between research and the public sector. </w:t>
      </w:r>
    </w:p>
    <w:p w:rsidR="004B53C9" w:rsidRDefault="00002D9F" w:rsidP="00E84510">
      <w:r>
        <w:t>In the early stages of BETA’s establishment, some conflict remained between academic and public sector timelines and priorities. BETA w</w:t>
      </w:r>
      <w:r w:rsidR="00A01EC5">
        <w:t>as</w:t>
      </w:r>
      <w:r>
        <w:t xml:space="preserve"> able to educate the public sector about BI</w:t>
      </w:r>
      <w:r w:rsidR="00A01EC5">
        <w:t xml:space="preserve"> by focusing on BI training and expertise </w:t>
      </w:r>
      <w:r>
        <w:t>but partnership challenges c</w:t>
      </w:r>
      <w:r w:rsidR="00A01EC5">
        <w:t>an</w:t>
      </w:r>
      <w:r>
        <w:t xml:space="preserve"> still create friction </w:t>
      </w:r>
      <w:r>
        <w:fldChar w:fldCharType="begin"/>
      </w:r>
      <w:r w:rsidR="00B10239">
        <w:instrText xml:space="preserve"> ADDIN ZOTERO_ITEM CSL_CITATION {"citationID":"spAL3WwM","properties":{"formattedCitation":"(Ball, 2023)","plainCitation":"(Ball, 2023)","noteIndex":0},"citationItems":[{"id":5229,"uris":["http://zotero.org/users/11793275/items/ZY85IFY6"],"itemData":{"id":5229,"type":"book","event-place":"Oxon, UK","publisher":"Routledge","publisher-place":"Oxon, UK","title":"Behavioural Public Policy in Australia: How an idea became practice","author":[{"family":"Ball","given":"Sarah"}],"issued":{"date-parts":[["2023"]]}}}],"schema":"https://github.com/citation-style-language/schema/raw/master/csl-citation.json"} </w:instrText>
      </w:r>
      <w:r>
        <w:fldChar w:fldCharType="separate"/>
      </w:r>
      <w:r w:rsidR="00B10239" w:rsidRPr="00B10239">
        <w:rPr>
          <w:rFonts w:ascii="Calibri" w:hAnsi="Calibri" w:cs="Calibri"/>
        </w:rPr>
        <w:t>(Ball, 2023)</w:t>
      </w:r>
      <w:r>
        <w:fldChar w:fldCharType="end"/>
      </w:r>
      <w:r>
        <w:t xml:space="preserve">. </w:t>
      </w:r>
    </w:p>
    <w:p w:rsidR="004B53C9" w:rsidRDefault="004B53C9" w:rsidP="00E84510"/>
    <w:p w:rsidR="00192F28" w:rsidRDefault="00192F28" w:rsidP="00E84510">
      <w:pPr>
        <w:pStyle w:val="Heading3"/>
      </w:pPr>
      <w:r>
        <w:t>Rewarding impact</w:t>
      </w:r>
    </w:p>
    <w:p w:rsidR="00767520" w:rsidRDefault="00A01EC5" w:rsidP="00E84510">
      <w:pPr>
        <w:spacing w:line="276" w:lineRule="auto"/>
        <w:rPr>
          <w:lang w:eastAsia="en-US"/>
        </w:rPr>
        <w:sectPr w:rsidR="00767520" w:rsidSect="00125091">
          <w:footerReference w:type="default" r:id="rId12"/>
          <w:headerReference w:type="first" r:id="rId13"/>
          <w:pgSz w:w="11906" w:h="16838" w:code="9"/>
          <w:pgMar w:top="1134" w:right="1134" w:bottom="1134" w:left="1134" w:header="680" w:footer="794" w:gutter="0"/>
          <w:cols w:space="708"/>
          <w:titlePg/>
          <w:docGrid w:linePitch="360"/>
        </w:sectPr>
      </w:pPr>
      <w:r>
        <w:rPr>
          <w:lang w:eastAsia="en-US"/>
        </w:rPr>
        <w:t>Oliver et al (2022) found o</w:t>
      </w:r>
      <w:r w:rsidR="00051687" w:rsidRPr="00051687">
        <w:rPr>
          <w:lang w:eastAsia="en-US"/>
        </w:rPr>
        <w:t>ver 60 prizes or rewards for impact, knowledge exchange, or ‘best use of evidence’</w:t>
      </w:r>
      <w:r w:rsidR="00051687">
        <w:rPr>
          <w:lang w:eastAsia="en-US"/>
        </w:rPr>
        <w:t xml:space="preserve"> in the UK</w:t>
      </w:r>
      <w:r w:rsidR="00051687" w:rsidRPr="00051687">
        <w:rPr>
          <w:lang w:eastAsia="en-US"/>
        </w:rPr>
        <w:t>. These are often run by journals (Evidence &amp; Policy’s Carol</w:t>
      </w:r>
      <w:r w:rsidR="00051687">
        <w:rPr>
          <w:lang w:eastAsia="en-US"/>
        </w:rPr>
        <w:t xml:space="preserve"> </w:t>
      </w:r>
      <w:r w:rsidR="00051687" w:rsidRPr="00051687">
        <w:rPr>
          <w:lang w:eastAsia="en-US"/>
        </w:rPr>
        <w:t>Weiss Prize); Policy Institutes (the King’s Policy Idol Competition); universities (Nottingham Universities’ Keystone Award for non-academic members of staff); research networks (</w:t>
      </w:r>
      <w:r w:rsidR="00351B4F">
        <w:rPr>
          <w:lang w:eastAsia="en-US"/>
        </w:rPr>
        <w:t xml:space="preserve">AusPSA’s Marian Simms Award, </w:t>
      </w:r>
      <w:r w:rsidR="00051687" w:rsidRPr="00051687">
        <w:rPr>
          <w:lang w:eastAsia="en-US"/>
        </w:rPr>
        <w:t>Life Sciences Research Network Wales’ Research Impact Awards); and societies (for example the UK Political Studies Association’s ‘Best Use of Evidence’ Award); as well as funding bodies (the ESRC’s ‘Impact Prize’</w:t>
      </w:r>
      <w:r w:rsidR="00051687">
        <w:rPr>
          <w:lang w:eastAsia="en-US"/>
        </w:rPr>
        <w:t>).</w:t>
      </w:r>
      <w:r w:rsidR="00051687" w:rsidRPr="00051687">
        <w:rPr>
          <w:lang w:eastAsia="en-US"/>
        </w:rPr>
        <w:t xml:space="preserve"> Prizes may be perceived as attempting to incentivise academic-policy engagement, although none have a clearly articulated theory of change</w:t>
      </w:r>
      <w:r>
        <w:rPr>
          <w:lang w:eastAsia="en-US"/>
        </w:rPr>
        <w:t xml:space="preserve">, strategy or </w:t>
      </w:r>
      <w:r w:rsidR="00051687" w:rsidRPr="00051687">
        <w:rPr>
          <w:lang w:eastAsia="en-US"/>
        </w:rPr>
        <w:t>evaluation in the public domain</w:t>
      </w:r>
      <w:r w:rsidR="007D324D">
        <w:rPr>
          <w:lang w:eastAsia="en-US"/>
        </w:rPr>
        <w:t>.</w:t>
      </w:r>
    </w:p>
    <w:p w:rsidR="00103369" w:rsidRPr="00980743" w:rsidRDefault="00F273A2" w:rsidP="00980743">
      <w:pPr>
        <w:pStyle w:val="Heading1"/>
      </w:pPr>
      <w:bookmarkStart w:id="10" w:name="_Toc140834167"/>
      <w:r>
        <w:t xml:space="preserve">Appendix A: </w:t>
      </w:r>
      <w:r w:rsidR="0094325C">
        <w:t>Further</w:t>
      </w:r>
      <w:r>
        <w:t xml:space="preserve"> reading</w:t>
      </w:r>
      <w:r w:rsidR="0094325C">
        <w:t xml:space="preserve"> and research</w:t>
      </w:r>
      <w:bookmarkEnd w:id="10"/>
    </w:p>
    <w:p w:rsidR="0083003A" w:rsidRPr="008C233A" w:rsidRDefault="0083003A" w:rsidP="00E84510">
      <w:pPr>
        <w:pStyle w:val="Heading2"/>
        <w:rPr>
          <w:sz w:val="28"/>
        </w:rPr>
      </w:pPr>
      <w:bookmarkStart w:id="11" w:name="_Toc140834168"/>
      <w:r w:rsidRPr="008C233A">
        <w:rPr>
          <w:sz w:val="28"/>
        </w:rPr>
        <w:t>Discovery</w:t>
      </w:r>
      <w:bookmarkEnd w:id="11"/>
      <w:r w:rsidRPr="008C233A">
        <w:rPr>
          <w:sz w:val="28"/>
        </w:rPr>
        <w:t xml:space="preserve"> </w:t>
      </w:r>
    </w:p>
    <w:p w:rsidR="0083003A" w:rsidRPr="00444830" w:rsidRDefault="00A74B21" w:rsidP="00E84510">
      <w:pPr>
        <w:spacing w:line="276" w:lineRule="auto"/>
        <w:rPr>
          <w:rFonts w:cstheme="minorHAnsi"/>
          <w:lang w:eastAsia="en-US"/>
        </w:rPr>
      </w:pPr>
      <w:r w:rsidRPr="00444830">
        <w:rPr>
          <w:rFonts w:cstheme="minorHAnsi"/>
          <w:lang w:eastAsia="en-US"/>
        </w:rPr>
        <w:t>T</w:t>
      </w:r>
      <w:r w:rsidR="0083003A" w:rsidRPr="00444830">
        <w:rPr>
          <w:rFonts w:cstheme="minorHAnsi"/>
          <w:lang w:eastAsia="en-US"/>
        </w:rPr>
        <w:t xml:space="preserve">he work of bringing together academics and policymakers is the primary focus of most research to date when exploring research-policy engagement </w:t>
      </w:r>
      <w:r w:rsidR="0083003A" w:rsidRPr="00444830">
        <w:rPr>
          <w:rFonts w:cstheme="minorHAnsi"/>
          <w:lang w:eastAsia="en-US"/>
        </w:rPr>
        <w:fldChar w:fldCharType="begin"/>
      </w:r>
      <w:r w:rsidR="00B10239">
        <w:rPr>
          <w:rFonts w:cstheme="minorHAnsi"/>
          <w:lang w:eastAsia="en-US"/>
        </w:rPr>
        <w:instrText xml:space="preserve"> ADDIN ZOTERO_ITEM CSL_CITATION {"citationID":"jOUkhEbl","properties":{"formattedCitation":"(Oliver et al., 2022)","plainCitation":"(Oliver et al., 2022)","noteIndex":0},"citationItems":[{"id":8604,"uris":["http://zotero.org/users/11793275/items/ZJYQUI97"],"itemData":{"id":8604,"type":"article-journal","abstract":"Background: To improve the use of evidence in policy and practice, many organisations and individuals seek to promote research-policy engagement activities, but little is known about what works. Aims and objectives: We sought (a) to identify existing research-policy engagement activities, and (b) evidence on impacts of these activities on research and decision making. Methods: We conducted systematic desk-based searches for organisations active in this area (such as funders, practice organisations, and universities) and reviewed websites, strategy documents, published evaluations and relevant research. We used a stakeholder roundtable, and follow-up survey and interviews, with a subset of the sample to check the quality and robustness of our approach. Findings: We identified 1923 initiatives in 513 organisations world-wide. However, we found only 57 organisations had publicly-available evaluations, and only 6% (141/2321) of initiatives were evaluated. Most activities aim to improve research dissemination or create relationships. Existing evaluations offer an often rich and nuanced picture of evidence use in particular settings (such as local government), sectors (such as policing), or by particular providers (such as learned societies), but are extremely scarce. Discussion and conclusions: Funders, research- and decision-making organisations have contributed to a huge expansion in research-policy engagement initiatives. Unfortunately, these initiatives tend not to draw on existing evidence and theory, and are mostly unevaluated. The rudderless mass of activity therefore fails to provide useful lessons for those wishing to improve evidence use, leading to wasted time and resources. Future initiatives should draw on existing evidence about what works, seek to contribute to this evidence base, and respond to a more realistic picture of the decision-making context.","container-title":"Evidence &amp; Policy","DOI":"10.1332/174426421X16420918447616","ISSN":"1744-2648, 1744-2656","issue":"4","language":"en","note":"publisher: Policy Press\nsection: Evidence &amp; Policy","page":"691-713","source":"bristoluniversitypressdigital.com","title":"What works to promote research-policy engagement?","volume":"18","author":[{"family":"Oliver","given":"Kathryn"},{"family":"Hopkins","given":"Anna"},{"family":"Boaz","given":"Annette"},{"family":"Guillot-Wright","given":"Shannon"},{"family":"Cairney","given":"Paul"}],"issued":{"date-parts":[["2022",11,1]]}}}],"schema":"https://github.com/citation-style-language/schema/raw/master/csl-citation.json"} </w:instrText>
      </w:r>
      <w:r w:rsidR="0083003A" w:rsidRPr="00444830">
        <w:rPr>
          <w:rFonts w:cstheme="minorHAnsi"/>
          <w:lang w:eastAsia="en-US"/>
        </w:rPr>
        <w:fldChar w:fldCharType="separate"/>
      </w:r>
      <w:r w:rsidR="00B10239" w:rsidRPr="00B10239">
        <w:rPr>
          <w:rFonts w:ascii="Calibri" w:hAnsi="Calibri" w:cs="Calibri"/>
        </w:rPr>
        <w:t>(Oliver et al., 2022)</w:t>
      </w:r>
      <w:r w:rsidR="0083003A" w:rsidRPr="00444830">
        <w:rPr>
          <w:rFonts w:cstheme="minorHAnsi"/>
          <w:lang w:eastAsia="en-US"/>
        </w:rPr>
        <w:fldChar w:fldCharType="end"/>
      </w:r>
      <w:r w:rsidR="0083003A" w:rsidRPr="00444830">
        <w:rPr>
          <w:rFonts w:cstheme="minorHAnsi"/>
          <w:lang w:eastAsia="en-US"/>
        </w:rPr>
        <w:t xml:space="preserve">. This includes the work of disseminating results, making formal requests for evidence by government, and facilitating relationships between the two to build partnerships. This focus </w:t>
      </w:r>
      <w:r w:rsidR="00444830">
        <w:rPr>
          <w:rFonts w:cstheme="minorHAnsi"/>
          <w:lang w:eastAsia="en-US"/>
        </w:rPr>
        <w:t>was reflected through the</w:t>
      </w:r>
      <w:r w:rsidR="0083003A" w:rsidRPr="00444830">
        <w:rPr>
          <w:rFonts w:cstheme="minorHAnsi"/>
          <w:lang w:eastAsia="en-US"/>
        </w:rPr>
        <w:t xml:space="preserve"> much larger number of pro</w:t>
      </w:r>
      <w:r w:rsidR="00444830">
        <w:rPr>
          <w:rFonts w:cstheme="minorHAnsi"/>
          <w:lang w:eastAsia="en-US"/>
        </w:rPr>
        <w:t>posed mechanisms in this paper</w:t>
      </w:r>
      <w:r w:rsidR="0083003A" w:rsidRPr="00444830">
        <w:rPr>
          <w:rFonts w:cstheme="minorHAnsi"/>
          <w:lang w:eastAsia="en-US"/>
        </w:rPr>
        <w:t xml:space="preserve"> but does not necessarily reflect a higher degree of importance. Ensuring effective design, delivery and review will also be vital for building better, more effective collaborations.  </w:t>
      </w:r>
    </w:p>
    <w:p w:rsidR="0083003A" w:rsidRDefault="006511F8" w:rsidP="00E84510">
      <w:pPr>
        <w:spacing w:line="276" w:lineRule="auto"/>
        <w:rPr>
          <w:lang w:eastAsia="en-US"/>
        </w:rPr>
      </w:pPr>
      <w:r>
        <w:rPr>
          <w:lang w:eastAsia="en-US"/>
        </w:rPr>
        <w:t>T</w:t>
      </w:r>
      <w:r w:rsidR="0083003A">
        <w:rPr>
          <w:lang w:eastAsia="en-US"/>
        </w:rPr>
        <w:t>he work happen</w:t>
      </w:r>
      <w:r>
        <w:rPr>
          <w:lang w:eastAsia="en-US"/>
        </w:rPr>
        <w:t>ing</w:t>
      </w:r>
      <w:r w:rsidR="0083003A">
        <w:rPr>
          <w:lang w:eastAsia="en-US"/>
        </w:rPr>
        <w:t xml:space="preserve"> at this stage</w:t>
      </w:r>
      <w:r>
        <w:rPr>
          <w:lang w:eastAsia="en-US"/>
        </w:rPr>
        <w:t xml:space="preserve"> has many names</w:t>
      </w:r>
      <w:r w:rsidR="0083003A">
        <w:rPr>
          <w:lang w:eastAsia="en-US"/>
        </w:rPr>
        <w:t>,</w:t>
      </w:r>
      <w:r>
        <w:rPr>
          <w:lang w:eastAsia="en-US"/>
        </w:rPr>
        <w:t xml:space="preserve"> which</w:t>
      </w:r>
      <w:r w:rsidR="0083003A">
        <w:rPr>
          <w:lang w:eastAsia="en-US"/>
        </w:rPr>
        <w:t xml:space="preserve"> can make it difficult to clarify the aims of collaboration. </w:t>
      </w:r>
      <w:r w:rsidR="00F87E56">
        <w:rPr>
          <w:lang w:eastAsia="en-US"/>
        </w:rPr>
        <w:t xml:space="preserve">The work could be called </w:t>
      </w:r>
      <w:r w:rsidR="0083003A">
        <w:rPr>
          <w:lang w:eastAsia="en-US"/>
        </w:rPr>
        <w:t>research translation, knowledge transfer, diffusion, research impact or evidence uptake. These all refer to practices used by academics to promote completed research or dissemina</w:t>
      </w:r>
      <w:r w:rsidR="00444830">
        <w:rPr>
          <w:lang w:eastAsia="en-US"/>
        </w:rPr>
        <w:t>te results, rather than intending to</w:t>
      </w:r>
      <w:r w:rsidR="0083003A">
        <w:rPr>
          <w:lang w:eastAsia="en-US"/>
        </w:rPr>
        <w:t xml:space="preserve"> informing policy </w:t>
      </w:r>
      <w:r w:rsidR="0083003A">
        <w:rPr>
          <w:lang w:eastAsia="en-US"/>
        </w:rPr>
        <w:fldChar w:fldCharType="begin"/>
      </w:r>
      <w:r w:rsidR="00B10239">
        <w:rPr>
          <w:lang w:eastAsia="en-US"/>
        </w:rPr>
        <w:instrText xml:space="preserve"> ADDIN ZOTERO_ITEM CSL_CITATION {"citationID":"maOrcSOL","properties":{"formattedCitation":"(Cherney et al., 2015; Davies et al., 2008; Oliver et al., 2022)","plainCitation":"(Cherney et al., 2015; Davies et al., 2008; Oliver et al., 2022)","noteIndex":0},"citationItems":[{"id":1565,"uris":["http://zotero.org/users/11793275/items/2HEZ667B"],"itemData":{"id":1565,"type":"article-journal","abstract":"While academics can do more to communicate the key messages of their research, the organisational cultures and information infrastructure of policy-related work units also play a large part in influencing the extent of research uptake in government agencies. Data from a large Australian survey (N 2084) of policy-related officials in government agencies is examined to provide insights into how certain preferences, constraints and organisational factors influence the ways in which policy personnel seek out and use academic social research.","container-title":"Evidence &amp; Policy: A Journal of Research, Debate and Practice","DOI":"10.1332/174426514X14138926450067","issue":"2","note":"Citation Key: Cherney2015","page":"169-188","title":"Use of academic social research by public officials: exploring preferences and constraints that impact on research use","volume":"11","author":[{"family":"Cherney","given":"Adrian"},{"family":"Head","given":"Brian"},{"family":"Povey","given":"Jenny"},{"family":"Ferguson","given":"Michele"},{"family":"Boreham","given":"Paul"}],"issued":{"date-parts":[["2015"]]}}},{"id":3679,"uris":["http://zotero.org/users/11793275/items/AJPGH6B4"],"itemData":{"id":3679,"type":"article-journal","container-title":"Journal of Health Services Research &amp; Policy","issue":"3","note":"Citation Key: H.","page":"188-90","title":"Why ‘Knowledge Transfer’ Is Misconceived for Applied Social Research","volume":"13","author":[{"family":"Davies","given":"Huw"},{"family":"Nutley","given":"Sandra"},{"family":"Walter","given":"Isabel"}],"issued":{"date-parts":[["2008"]]}}},{"id":8604,"uris":["http://zotero.org/users/11793275/items/ZJYQUI97"],"itemData":{"id":8604,"type":"article-journal","abstract":"Background: To improve the use of evidence in policy and practice, many organisations and individuals seek to promote research-policy engagement activities, but little is known about what works. Aims and objectives: We sought (a) to identify existing research-policy engagement activities, and (b) evidence on impacts of these activities on research and decision making. Methods: We conducted systematic desk-based searches for organisations active in this area (such as funders, practice organisations, and universities) and reviewed websites, strategy documents, published evaluations and relevant research. We used a stakeholder roundtable, and follow-up survey and interviews, with a subset of the sample to check the quality and robustness of our approach. Findings: We identified 1923 initiatives in 513 organisations world-wide. However, we found only 57 organisations had publicly-available evaluations, and only 6% (141/2321) of initiatives were evaluated. Most activities aim to improve research dissemination or create relationships. Existing evaluations offer an often rich and nuanced picture of evidence use in particular settings (such as local government), sectors (such as policing), or by particular providers (such as learned societies), but are extremely scarce. Discussion and conclusions: Funders, research- and decision-making organisations have contributed to a huge expansion in research-policy engagement initiatives. Unfortunately, these initiatives tend not to draw on existing evidence and theory, and are mostly unevaluated. The rudderless mass of activity therefore fails to provide useful lessons for those wishing to improve evidence use, leading to wasted time and resources. Future initiatives should draw on existing evidence about what works, seek to contribute to this evidence base, and respond to a more realistic picture of the decision-making context.","container-title":"Evidence &amp; Policy","DOI":"10.1332/174426421X16420918447616","ISSN":"1744-2648, 1744-2656","issue":"4","language":"en","note":"publisher: Policy Press\nsection: Evidence &amp; Policy","page":"691-713","source":"bristoluniversitypressdigital.com","title":"What works to promote research-policy engagement?","volume":"18","author":[{"family":"Oliver","given":"Kathryn"},{"family":"Hopkins","given":"Anna"},{"family":"Boaz","given":"Annette"},{"family":"Guillot-Wright","given":"Shannon"},{"family":"Cairney","given":"Paul"}],"issued":{"date-parts":[["2022",11,1]]}}}],"schema":"https://github.com/citation-style-language/schema/raw/master/csl-citation.json"} </w:instrText>
      </w:r>
      <w:r w:rsidR="0083003A">
        <w:rPr>
          <w:lang w:eastAsia="en-US"/>
        </w:rPr>
        <w:fldChar w:fldCharType="separate"/>
      </w:r>
      <w:r w:rsidR="00B10239" w:rsidRPr="00B10239">
        <w:rPr>
          <w:rFonts w:ascii="Calibri" w:hAnsi="Calibri" w:cs="Calibri"/>
        </w:rPr>
        <w:t>(Cherney et al., 2015; Davies et al., 2008; Oliver et al., 2022)</w:t>
      </w:r>
      <w:r w:rsidR="0083003A">
        <w:rPr>
          <w:lang w:eastAsia="en-US"/>
        </w:rPr>
        <w:fldChar w:fldCharType="end"/>
      </w:r>
      <w:r w:rsidR="00444830">
        <w:rPr>
          <w:lang w:eastAsia="en-US"/>
        </w:rPr>
        <w:t>.  These</w:t>
      </w:r>
      <w:r w:rsidR="0083003A">
        <w:rPr>
          <w:lang w:eastAsia="en-US"/>
        </w:rPr>
        <w:t xml:space="preserve"> uni-directional practices can be </w:t>
      </w:r>
      <w:r w:rsidR="00444830">
        <w:rPr>
          <w:lang w:eastAsia="en-US"/>
        </w:rPr>
        <w:t xml:space="preserve">distinct to </w:t>
      </w:r>
      <w:r w:rsidR="0083003A">
        <w:rPr>
          <w:lang w:eastAsia="en-US"/>
        </w:rPr>
        <w:t>broader concept</w:t>
      </w:r>
      <w:r w:rsidR="00444830">
        <w:rPr>
          <w:lang w:eastAsia="en-US"/>
        </w:rPr>
        <w:t>s</w:t>
      </w:r>
      <w:r w:rsidR="0083003A">
        <w:rPr>
          <w:lang w:eastAsia="en-US"/>
        </w:rPr>
        <w:t xml:space="preserve"> of engag</w:t>
      </w:r>
      <w:r w:rsidR="00444830">
        <w:rPr>
          <w:lang w:eastAsia="en-US"/>
        </w:rPr>
        <w:t xml:space="preserve">ement and collaboration </w:t>
      </w:r>
      <w:r w:rsidR="00F87E56">
        <w:rPr>
          <w:lang w:eastAsia="en-US"/>
        </w:rPr>
        <w:t xml:space="preserve">which </w:t>
      </w:r>
      <w:r w:rsidR="00444830">
        <w:rPr>
          <w:lang w:eastAsia="en-US"/>
        </w:rPr>
        <w:t>aim to develop</w:t>
      </w:r>
      <w:r w:rsidR="0083003A">
        <w:rPr>
          <w:lang w:eastAsia="en-US"/>
        </w:rPr>
        <w:t xml:space="preserve"> policy relevant research outcomes </w:t>
      </w:r>
      <w:r w:rsidR="0083003A">
        <w:rPr>
          <w:lang w:eastAsia="en-US"/>
        </w:rPr>
        <w:fldChar w:fldCharType="begin"/>
      </w:r>
      <w:r w:rsidR="00B10239">
        <w:rPr>
          <w:lang w:eastAsia="en-US"/>
        </w:rPr>
        <w:instrText xml:space="preserve"> ADDIN ZOTERO_ITEM CSL_CITATION {"citationID":"B5ef7Bk2","properties":{"formattedCitation":"(Western, 2019)","plainCitation":"(Western, 2019)","noteIndex":0},"citationItems":[{"id":227,"uris":["http://zotero.org/users/11793275/items/52EZ5CGI"],"itemData":{"id":227,"type":"article-journal","container-title":"Justice Evaluation Journal","issue":"1","note":"Citation Key: Western2019\nISBN: 2475-1979","page":"18-34","title":"How to Increase the Relevance and Use of Social and Behavioral Science: Lessons for Policy-makers, Researchers and Others","volume":"2","author":[{"family":"Western","given":"Mark"}],"issued":{"date-parts":[["2019"]]}}}],"schema":"https://github.com/citation-style-language/schema/raw/master/csl-citation.json"} </w:instrText>
      </w:r>
      <w:r w:rsidR="0083003A">
        <w:rPr>
          <w:lang w:eastAsia="en-US"/>
        </w:rPr>
        <w:fldChar w:fldCharType="separate"/>
      </w:r>
      <w:r w:rsidR="00B10239" w:rsidRPr="00B10239">
        <w:rPr>
          <w:rFonts w:ascii="Calibri" w:hAnsi="Calibri" w:cs="Calibri"/>
        </w:rPr>
        <w:t>(Western, 2019)</w:t>
      </w:r>
      <w:r w:rsidR="0083003A">
        <w:rPr>
          <w:lang w:eastAsia="en-US"/>
        </w:rPr>
        <w:fldChar w:fldCharType="end"/>
      </w:r>
      <w:r w:rsidR="0083003A">
        <w:rPr>
          <w:lang w:eastAsia="en-US"/>
        </w:rPr>
        <w:t>. The public sector has similarly been accused of seeking research after the fact, with the</w:t>
      </w:r>
      <w:r w:rsidR="00444830">
        <w:rPr>
          <w:lang w:eastAsia="en-US"/>
        </w:rPr>
        <w:t xml:space="preserve"> primary goal of supporting </w:t>
      </w:r>
      <w:r w:rsidR="0083003A">
        <w:rPr>
          <w:lang w:eastAsia="en-US"/>
        </w:rPr>
        <w:t xml:space="preserve">decisions already made </w:t>
      </w:r>
      <w:r w:rsidR="0083003A">
        <w:rPr>
          <w:lang w:eastAsia="en-US"/>
        </w:rPr>
        <w:fldChar w:fldCharType="begin"/>
      </w:r>
      <w:r w:rsidR="00B10239">
        <w:rPr>
          <w:lang w:eastAsia="en-US"/>
        </w:rPr>
        <w:instrText xml:space="preserve"> ADDIN ZOTERO_ITEM CSL_CITATION {"citationID":"DEozsr24","properties":{"formattedCitation":"(Ferguson et al., 2014)","plainCitation":"(Ferguson et al., 2014)","noteIndex":0},"citationItems":[{"id":2964,"uris":["http://zotero.org/users/11793275/items/UE8M2EDZ"],"itemData":{"id":2964,"type":"article-journal","container-title":"Policy and Society","issue":"2","note":"Citation Key: Ferguson2014\nISBN: 1449-4035","page":"89-101","title":"Are policy-makers interested in social research? Exploring the sources and uses of valued information among public servants in Australia","volume":"33","author":[{"family":"Ferguson","given":"Michele"},{"family":"Cherney","given":"Adrian"},{"family":"Boreham","given":"Paul"},{"family":"Head","given":"Brian"}],"issued":{"date-parts":[["2014"]]}}}],"schema":"https://github.com/citation-style-language/schema/raw/master/csl-citation.json"} </w:instrText>
      </w:r>
      <w:r w:rsidR="0083003A">
        <w:rPr>
          <w:lang w:eastAsia="en-US"/>
        </w:rPr>
        <w:fldChar w:fldCharType="separate"/>
      </w:r>
      <w:r w:rsidR="00B10239" w:rsidRPr="00B10239">
        <w:rPr>
          <w:rFonts w:ascii="Calibri" w:hAnsi="Calibri" w:cs="Calibri"/>
        </w:rPr>
        <w:t>(Ferguson et al., 2014)</w:t>
      </w:r>
      <w:r w:rsidR="0083003A">
        <w:rPr>
          <w:lang w:eastAsia="en-US"/>
        </w:rPr>
        <w:fldChar w:fldCharType="end"/>
      </w:r>
      <w:r w:rsidR="0083003A">
        <w:rPr>
          <w:lang w:eastAsia="en-US"/>
        </w:rPr>
        <w:t xml:space="preserve">. </w:t>
      </w:r>
      <w:r w:rsidR="00F87E56">
        <w:rPr>
          <w:lang w:eastAsia="en-US"/>
        </w:rPr>
        <w:t xml:space="preserve">Contract </w:t>
      </w:r>
      <w:r w:rsidR="0083003A">
        <w:rPr>
          <w:lang w:eastAsia="en-US"/>
        </w:rPr>
        <w:t>research</w:t>
      </w:r>
      <w:r w:rsidR="00F87E56">
        <w:rPr>
          <w:lang w:eastAsia="en-US"/>
        </w:rPr>
        <w:t xml:space="preserve"> </w:t>
      </w:r>
      <w:r w:rsidR="0083003A">
        <w:rPr>
          <w:lang w:eastAsia="en-US"/>
        </w:rPr>
        <w:t xml:space="preserve">can be limiting for those working within the University </w:t>
      </w:r>
      <w:r w:rsidR="00444830">
        <w:rPr>
          <w:lang w:eastAsia="en-US"/>
        </w:rPr>
        <w:t xml:space="preserve">sector, particularly as </w:t>
      </w:r>
      <w:r w:rsidR="0083003A">
        <w:rPr>
          <w:lang w:eastAsia="en-US"/>
        </w:rPr>
        <w:t xml:space="preserve">contracts rarely allow for publication or accommodate theory generation - the backbone of promotion and success in academia </w:t>
      </w:r>
      <w:r w:rsidR="0083003A">
        <w:rPr>
          <w:lang w:eastAsia="en-US"/>
        </w:rPr>
        <w:fldChar w:fldCharType="begin"/>
      </w:r>
      <w:r w:rsidR="00B10239">
        <w:rPr>
          <w:lang w:eastAsia="en-US"/>
        </w:rPr>
        <w:instrText xml:space="preserve"> ADDIN ZOTERO_ITEM CSL_CITATION {"citationID":"67bRI2Y4","properties":{"formattedCitation":"(Oliver et al., 2014)","plainCitation":"(Oliver et al., 2014)","noteIndex":0},"citationItems":[{"id":3052,"uris":["http://zotero.org/users/11793275/items/5HFX3NLL"],"itemData":{"id":3052,"type":"article-journal","abstract":"To identify new barriers of and facilitators to the use of evidence by policymakers, and assess the state of research in this area, we updated a systematic review. Studies were included if they were primary research or systematic reviews about factors affecting the use of evidence in policy. Studies were coded to extract data on methods, topic, focus, results and population.  145 new studies were identified, of which over half were published after 2010. Thirteen systematic reviews were included. Compared with the original review, a much wider range of policy topics was found. Although still primarily in the health field, studies were also drawn from criminal justice, traffic policy, drug policy, and partnership working. The most frequently reported barriers to evidence uptake were poor access to good quality relevant research, and lack of timely research output. The most frequently reported facilitators were collaboration between researchers and policymakers, and improved relationships and skills. There is an increasing amount of research into new models of knowledge transfer, and evaluations of interventions such as knowledge brokerage.","container-title":"BMC health services research","issue":"1","note":"Citation Key: Oliver2014\nISBN: 1472-6963","page":"2","title":"A systematic review of barriers to and facilitators of the use of evidence by policymakers","volume":"14","author":[{"family":"Oliver","given":"Kathryn"},{"family":"Innvar","given":"Simon"},{"family":"Lorenc","given":"Theo"},{"family":"Woodman","given":"Jenny"},{"family":"Thomas","given":"James"}],"issued":{"date-parts":[["2014"]]}}}],"schema":"https://github.com/citation-style-language/schema/raw/master/csl-citation.json"} </w:instrText>
      </w:r>
      <w:r w:rsidR="0083003A">
        <w:rPr>
          <w:lang w:eastAsia="en-US"/>
        </w:rPr>
        <w:fldChar w:fldCharType="separate"/>
      </w:r>
      <w:r w:rsidR="00B10239" w:rsidRPr="00B10239">
        <w:rPr>
          <w:rFonts w:ascii="Calibri" w:hAnsi="Calibri" w:cs="Calibri"/>
        </w:rPr>
        <w:t>(Oliver et al., 2014)</w:t>
      </w:r>
      <w:r w:rsidR="0083003A">
        <w:rPr>
          <w:lang w:eastAsia="en-US"/>
        </w:rPr>
        <w:fldChar w:fldCharType="end"/>
      </w:r>
      <w:r w:rsidR="0083003A">
        <w:rPr>
          <w:lang w:eastAsia="en-US"/>
        </w:rPr>
        <w:t xml:space="preserve">. The public sector is also claimed to work to different timelines and with the goal of looking for more definitive answers than is workable for their academic collaborators </w:t>
      </w:r>
      <w:r w:rsidR="0083003A">
        <w:rPr>
          <w:lang w:eastAsia="en-US"/>
        </w:rPr>
        <w:fldChar w:fldCharType="begin"/>
      </w:r>
      <w:r w:rsidR="00B10239">
        <w:rPr>
          <w:lang w:eastAsia="en-US"/>
        </w:rPr>
        <w:instrText xml:space="preserve"> ADDIN ZOTERO_ITEM CSL_CITATION {"citationID":"NbcMCcwN","properties":{"formattedCitation":"(Ferguson et al., 2014; Head, 2015)","plainCitation":"(Ferguson et al., 2014; Head, 2015)","noteIndex":0},"citationItems":[{"id":2964,"uris":["http://zotero.org/users/11793275/items/UE8M2EDZ"],"itemData":{"id":2964,"type":"article-journal","container-title":"Policy and Society","issue":"2","note":"Citation Key: Ferguson2014\nISBN: 1449-4035","page":"89-101","title":"Are policy-makers interested in social research? Exploring the sources and uses of valued information among public servants in Australia","volume":"33","author":[{"family":"Ferguson","given":"Michele"},{"family":"Cherney","given":"Adrian"},{"family":"Boreham","given":"Paul"},{"family":"Head","given":"Brian"}],"issued":{"date-parts":[["2014"]]}}},{"id":1943,"uris":["http://zotero.org/users/11793275/items/6RK9CLQV"],"itemData":{"id":1943,"type":"article-journal","container-title":"Australian Journal of Public Administration","issue":"1","note":"Citation Key: Head2015a\nISBN: 1467-8500","page":"5-12","title":"Relationships between Policy Academics and Public Servants: Learning at a Distance?","volume":"74","author":[{"family":"Head","given":"Brian"}],"issued":{"date-parts":[["2015"]]}}}],"schema":"https://github.com/citation-style-language/schema/raw/master/csl-citation.json"} </w:instrText>
      </w:r>
      <w:r w:rsidR="0083003A">
        <w:rPr>
          <w:lang w:eastAsia="en-US"/>
        </w:rPr>
        <w:fldChar w:fldCharType="separate"/>
      </w:r>
      <w:r w:rsidR="00B10239" w:rsidRPr="00B10239">
        <w:rPr>
          <w:rFonts w:ascii="Calibri" w:hAnsi="Calibri" w:cs="Calibri"/>
        </w:rPr>
        <w:t>(Ferguson et al., 2014; Head, 2015)</w:t>
      </w:r>
      <w:r w:rsidR="0083003A">
        <w:rPr>
          <w:lang w:eastAsia="en-US"/>
        </w:rPr>
        <w:fldChar w:fldCharType="end"/>
      </w:r>
      <w:r w:rsidR="0083003A">
        <w:rPr>
          <w:lang w:eastAsia="en-US"/>
        </w:rPr>
        <w:t xml:space="preserve">. </w:t>
      </w:r>
    </w:p>
    <w:p w:rsidR="0083003A" w:rsidRDefault="0083003A" w:rsidP="00E84510">
      <w:pPr>
        <w:spacing w:line="276" w:lineRule="auto"/>
        <w:rPr>
          <w:lang w:eastAsia="en-US"/>
        </w:rPr>
      </w:pPr>
      <w:r>
        <w:rPr>
          <w:lang w:eastAsia="en-US"/>
        </w:rPr>
        <w:t xml:space="preserve">A vast array of institutional and cultural practices have been recommended to address the challenges listed above. From the research (push) side there are arguments about designing and developing usable knowledge in partnership with policy makers </w:t>
      </w:r>
      <w:r>
        <w:rPr>
          <w:lang w:eastAsia="en-US"/>
        </w:rPr>
        <w:fldChar w:fldCharType="begin"/>
      </w:r>
      <w:r w:rsidR="00B10239">
        <w:rPr>
          <w:lang w:eastAsia="en-US"/>
        </w:rPr>
        <w:instrText xml:space="preserve"> ADDIN ZOTERO_ITEM CSL_CITATION {"citationID":"uJ6msUSC","properties":{"formattedCitation":"(Western, 2019)","plainCitation":"(Western, 2019)","noteIndex":0},"citationItems":[{"id":227,"uris":["http://zotero.org/users/11793275/items/52EZ5CGI"],"itemData":{"id":227,"type":"article-journal","container-title":"Justice Evaluation Journal","issue":"1","note":"Citation Key: Western2019\nISBN: 2475-1979","page":"18-34","title":"How to Increase the Relevance and Use of Social and Behavioral Science: Lessons for Policy-makers, Researchers and Others","volume":"2","author":[{"family":"Western","given":"Mark"}],"issued":{"date-parts":[["2019"]]}}}],"schema":"https://github.com/citation-style-language/schema/raw/master/csl-citation.json"} </w:instrText>
      </w:r>
      <w:r>
        <w:rPr>
          <w:lang w:eastAsia="en-US"/>
        </w:rPr>
        <w:fldChar w:fldCharType="separate"/>
      </w:r>
      <w:r w:rsidR="00B10239" w:rsidRPr="00B10239">
        <w:rPr>
          <w:rFonts w:ascii="Calibri" w:hAnsi="Calibri" w:cs="Calibri"/>
        </w:rPr>
        <w:t>(Western, 2019)</w:t>
      </w:r>
      <w:r>
        <w:rPr>
          <w:lang w:eastAsia="en-US"/>
        </w:rPr>
        <w:fldChar w:fldCharType="end"/>
      </w:r>
      <w:r>
        <w:rPr>
          <w:lang w:eastAsia="en-US"/>
        </w:rPr>
        <w:t xml:space="preserve">, using PhD internships or secondments to educate academics in how policy is made </w:t>
      </w:r>
      <w:r>
        <w:rPr>
          <w:lang w:eastAsia="en-US"/>
        </w:rPr>
        <w:fldChar w:fldCharType="begin"/>
      </w:r>
      <w:r w:rsidR="00B10239">
        <w:rPr>
          <w:lang w:eastAsia="en-US"/>
        </w:rPr>
        <w:instrText xml:space="preserve"> ADDIN ZOTERO_ITEM CSL_CITATION {"citationID":"WHoIOezH","properties":{"formattedCitation":"(Foxen &amp; Bermingham, 2022)","plainCitation":"(Foxen &amp; Bermingham, 2022)","noteIndex":0},"citationItems":[{"id":8548,"uris":["http://zotero.org/users/11793275/items/UHFPRCUV"],"itemData":{"id":8548,"type":"book","ISBN":"978-1-80037-896-4","language":"en","note":"DOI: 10.4337/9781800378964.00010","publisher":"Edward Elgar Publishing","source":"DOI.org (Crossref)","title":"Speaking a shared language","URL":"https://www.elgaronline.com/view/book/9781800378964/book-part-9781800378964-10.xml","author":[{"family":"Foxen","given":"Sarah"},{"family":"Bermingham","given":"Rowena"}],"accessed":{"date-parts":[["2023",6,8]]},"issued":{"date-parts":[["2022",7,19]]}}}],"schema":"https://github.com/citation-style-language/schema/raw/master/csl-citation.json"} </w:instrText>
      </w:r>
      <w:r>
        <w:rPr>
          <w:lang w:eastAsia="en-US"/>
        </w:rPr>
        <w:fldChar w:fldCharType="separate"/>
      </w:r>
      <w:r w:rsidR="00B10239" w:rsidRPr="00B10239">
        <w:rPr>
          <w:rFonts w:ascii="Calibri" w:hAnsi="Calibri" w:cs="Calibri"/>
        </w:rPr>
        <w:t>(Foxen &amp; Bermingham, 2022)</w:t>
      </w:r>
      <w:r>
        <w:rPr>
          <w:lang w:eastAsia="en-US"/>
        </w:rPr>
        <w:fldChar w:fldCharType="end"/>
      </w:r>
      <w:r>
        <w:rPr>
          <w:lang w:eastAsia="en-US"/>
        </w:rPr>
        <w:t xml:space="preserve">, and building more extensive engagement platforms </w:t>
      </w:r>
      <w:r>
        <w:rPr>
          <w:lang w:eastAsia="en-US"/>
        </w:rPr>
        <w:fldChar w:fldCharType="begin"/>
      </w:r>
      <w:r w:rsidR="00B10239">
        <w:rPr>
          <w:lang w:eastAsia="en-US"/>
        </w:rPr>
        <w:instrText xml:space="preserve"> ADDIN ZOTERO_ITEM CSL_CITATION {"citationID":"1FcahPd2","properties":{"formattedCitation":"(Menon &amp; Rutter, 2022)","plainCitation":"(Menon &amp; Rutter, 2022)","noteIndex":0},"citationItems":[{"id":8549,"uris":["http://zotero.org/users/11793275/items/VX85JCCS"],"itemData":{"id":8549,"type":"chapter","container-title":"How to engage policy makers with your research","ISBN":"978-1-80037-896-4","language":"en","note":"DOI: 10.4337/9781800378964.00010","publisher":"Edward Elgar Publishing","source":"DOI.org (Crossref)","title":"From broadcast to engagement: moving beyond traditional mechanisms","URL":"https://www.elgaronline.com/view/book/9781800378964/book-part-9781800378964-10.xml","author":[{"family":"Menon","given":"Anand"},{"family":"Rutter","given":"Jill"}],"accessed":{"date-parts":[["2023",6,8]]},"issued":{"date-parts":[["2022",7,19]]}}}],"schema":"https://github.com/citation-style-language/schema/raw/master/csl-citation.json"} </w:instrText>
      </w:r>
      <w:r>
        <w:rPr>
          <w:lang w:eastAsia="en-US"/>
        </w:rPr>
        <w:fldChar w:fldCharType="separate"/>
      </w:r>
      <w:r w:rsidR="00B10239" w:rsidRPr="00B10239">
        <w:rPr>
          <w:rFonts w:ascii="Calibri" w:hAnsi="Calibri" w:cs="Calibri"/>
        </w:rPr>
        <w:t>(Menon &amp; Rutter, 2022)</w:t>
      </w:r>
      <w:r>
        <w:rPr>
          <w:lang w:eastAsia="en-US"/>
        </w:rPr>
        <w:fldChar w:fldCharType="end"/>
      </w:r>
      <w:r>
        <w:rPr>
          <w:lang w:eastAsia="en-US"/>
        </w:rPr>
        <w:t xml:space="preserve">. On the public sector side (pull) the focus appears to be on encouraging an interest in engaging with research in the first place </w:t>
      </w:r>
      <w:r>
        <w:rPr>
          <w:lang w:eastAsia="en-US"/>
        </w:rPr>
        <w:fldChar w:fldCharType="begin"/>
      </w:r>
      <w:r w:rsidR="00B10239">
        <w:rPr>
          <w:lang w:eastAsia="en-US"/>
        </w:rPr>
        <w:instrText xml:space="preserve"> ADDIN ZOTERO_ITEM CSL_CITATION {"citationID":"ivRoDTV4","properties":{"formattedCitation":"(Ferguson et al., 2014; Uneke et al., 2015)","plainCitation":"(Ferguson et al., 2014; Uneke et al., 2015)","noteIndex":0},"citationItems":[{"id":2964,"uris":["http://zotero.org/users/11793275/items/UE8M2EDZ"],"itemData":{"id":2964,"type":"article-journal","container-title":"Policy and Society","issue":"2","note":"Citation Key: Ferguson2014\nISBN: 1449-4035","page":"89-101","title":"Are policy-makers interested in social research? Exploring the sources and uses of valued information among public servants in Australia","volume":"33","author":[{"family":"Ferguson","given":"Michele"},{"family":"Cherney","given":"Adrian"},{"family":"Boreham","given":"Paul"},{"family":"Head","given":"Brian"}],"issued":{"date-parts":[["2014"]]}}},{"id":2810,"uris":["http://zotero.org/users/11793275/items/9QWU47J6"],"itemData":{"id":2810,"type":"article-journal","container-title":"International journal of health policy and management","issue":"9","note":"Citation Key: Uneke2015","page":"599","title":"Enhancing the capacity of policy-makers to develop evidence-informed policy brief on infectious diseases of poverty in Nigeria","volume":"4","author":[{"family":"Uneke","given":"Chigozie Jesse"},{"family":"Ezeoha","given":"Abel Ebeh"},{"family":"Uro-Chukwu","given":"Henry"},{"family":"Ezeonu","given":"Chinonyelum Thecla"},{"family":"Ogbu","given":"Ogbonnaya"},{"family":"Onwe","given":"Friday"},{"family":"Edoga","given":"Chima"}],"issued":{"date-parts":[["2015"]]}}}],"schema":"https://github.com/citation-style-language/schema/raw/master/csl-citation.json"} </w:instrText>
      </w:r>
      <w:r>
        <w:rPr>
          <w:lang w:eastAsia="en-US"/>
        </w:rPr>
        <w:fldChar w:fldCharType="separate"/>
      </w:r>
      <w:r w:rsidR="00B10239" w:rsidRPr="00B10239">
        <w:rPr>
          <w:rFonts w:ascii="Calibri" w:hAnsi="Calibri" w:cs="Calibri"/>
        </w:rPr>
        <w:t>(Ferguson et al., 2014; Uneke et al., 2015)</w:t>
      </w:r>
      <w:r>
        <w:rPr>
          <w:lang w:eastAsia="en-US"/>
        </w:rPr>
        <w:fldChar w:fldCharType="end"/>
      </w:r>
      <w:r>
        <w:rPr>
          <w:lang w:eastAsia="en-US"/>
        </w:rPr>
        <w:t xml:space="preserve">, or addressing the barriers that come with limited time or capability to engage with academic research findings </w:t>
      </w:r>
      <w:r>
        <w:rPr>
          <w:lang w:eastAsia="en-US"/>
        </w:rPr>
        <w:fldChar w:fldCharType="begin"/>
      </w:r>
      <w:r w:rsidR="00B10239">
        <w:rPr>
          <w:lang w:eastAsia="en-US"/>
        </w:rPr>
        <w:instrText xml:space="preserve"> ADDIN ZOTERO_ITEM CSL_CITATION {"citationID":"25dHK1I8","properties":{"formattedCitation":"(Cairney et al., 2023; Oliver et al., 2014)","plainCitation":"(Cairney et al., 2023; Oliver et al., 2014)","noteIndex":0},"citationItems":[{"id":5781,"uris":["http://zotero.org/users/11793275/items/KNY375GP"],"itemData":{"id":5781,"type":"article-journal","container-title":"BMJ Quality and Safety","DOI":"10.1136/bmjqs-2023-015911","ISSN":"20445415","note":"PMID: 36948543","page":"251-253","title":"Translating evidence into policy and practice: What do we know already, and what would further research look like?","author":[{"family":"Cairney","given":"Paul"},{"family":"Boaz","given":"Annette"},{"family":"Oliver","given":"Kathryn"}],"issued":{"date-parts":[["2023"]]}}},{"id":3052,"uris":["http://zotero.org/users/11793275/items/5HFX3NLL"],"itemData":{"id":3052,"type":"article-journal","abstract":"To identify new barriers of and facilitators to the use of evidence by policymakers, and assess the state of research in this area, we updated a systematic review. Studies were included if they were primary research or systematic reviews about factors affecting the use of evidence in policy. Studies were coded to extract data on methods, topic, focus, results and population.  145 new studies were identified, of which over half were published after 2010. Thirteen systematic reviews were included. Compared with the original review, a much wider range of policy topics was found. Although still primarily in the health field, studies were also drawn from criminal justice, traffic policy, drug policy, and partnership working. The most frequently reported barriers to evidence uptake were poor access to good quality relevant research, and lack of timely research output. The most frequently reported facilitators were collaboration between researchers and policymakers, and improved relationships and skills. There is an increasing amount of research into new models of knowledge transfer, and evaluations of interventions such as knowledge brokerage.","container-title":"BMC health services research","issue":"1","note":"Citation Key: Oliver2014\nISBN: 1472-6963","page":"2","title":"A systematic review of barriers to and facilitators of the use of evidence by policymakers","volume":"14","author":[{"family":"Oliver","given":"Kathryn"},{"family":"Innvar","given":"Simon"},{"family":"Lorenc","given":"Theo"},{"family":"Woodman","given":"Jenny"},{"family":"Thomas","given":"James"}],"issued":{"date-parts":[["2014"]]}}}],"schema":"https://github.com/citation-style-language/schema/raw/master/csl-citation.json"} </w:instrText>
      </w:r>
      <w:r>
        <w:rPr>
          <w:lang w:eastAsia="en-US"/>
        </w:rPr>
        <w:fldChar w:fldCharType="separate"/>
      </w:r>
      <w:r w:rsidR="00B10239" w:rsidRPr="00B10239">
        <w:rPr>
          <w:rFonts w:ascii="Calibri" w:hAnsi="Calibri" w:cs="Calibri"/>
        </w:rPr>
        <w:t>(Cairney et al., 2023; Oliver et al., 2014)</w:t>
      </w:r>
      <w:r>
        <w:rPr>
          <w:lang w:eastAsia="en-US"/>
        </w:rPr>
        <w:fldChar w:fldCharType="end"/>
      </w:r>
      <w:r>
        <w:rPr>
          <w:lang w:eastAsia="en-US"/>
        </w:rPr>
        <w:t xml:space="preserve">. </w:t>
      </w:r>
    </w:p>
    <w:p w:rsidR="0083003A" w:rsidRDefault="0083003A" w:rsidP="00E84510">
      <w:pPr>
        <w:spacing w:line="276" w:lineRule="auto"/>
        <w:rPr>
          <w:lang w:eastAsia="en-US"/>
        </w:rPr>
      </w:pPr>
      <w:r>
        <w:rPr>
          <w:lang w:eastAsia="en-US"/>
        </w:rPr>
        <w:t xml:space="preserve">Another view is that these differences lead to unspoken cultural barriers between the two. Bogenschneider et al (2019) suggest that academics might be better served if they see their research as forming part of a broader argument and acknowledging the role compromise and negotiation play in policy making. This is similar to the framing of evidence as something policy will be </w:t>
      </w:r>
      <w:r>
        <w:rPr>
          <w:i/>
          <w:iCs/>
          <w:lang w:eastAsia="en-US"/>
        </w:rPr>
        <w:t>informed</w:t>
      </w:r>
      <w:r>
        <w:rPr>
          <w:lang w:eastAsia="en-US"/>
        </w:rPr>
        <w:t xml:space="preserve"> by, rather than something it is independently </w:t>
      </w:r>
      <w:r w:rsidRPr="005343BB">
        <w:rPr>
          <w:i/>
          <w:iCs/>
          <w:lang w:eastAsia="en-US"/>
        </w:rPr>
        <w:t>based upon</w:t>
      </w:r>
      <w:r>
        <w:rPr>
          <w:lang w:eastAsia="en-US"/>
        </w:rPr>
        <w:t xml:space="preserve"> </w:t>
      </w:r>
      <w:r>
        <w:rPr>
          <w:lang w:eastAsia="en-US"/>
        </w:rPr>
        <w:fldChar w:fldCharType="begin"/>
      </w:r>
      <w:r w:rsidR="00B10239">
        <w:rPr>
          <w:lang w:eastAsia="en-US"/>
        </w:rPr>
        <w:instrText xml:space="preserve"> ADDIN ZOTERO_ITEM CSL_CITATION {"citationID":"DbuPacFX","properties":{"formattedCitation":"(Head, 2016)","plainCitation":"(Head, 2016)","noteIndex":0},"citationItems":[{"id":203,"uris":["http://zotero.org/users/11793275/items/VFFN3473"],"itemData":{"id":203,"type":"article-journal","abstract":"The quality of public decision making depends significantly on the quality of analysis and advice provided through public organizations. Champions of “evidence-informed” policy making claim that rigorous evaluation practices can significantly improve attainment of cost-effective outcomes. After decades of experience, performance information is more sophisticated, but evaluation practices and capabilities vary enormously. Public agencies gather and process vast amounts of information, but there has been little analysis of how this information is actually utilized for policy and program improvement. This article examines how government agencies use evidence about policy and program effectiveness, with attention to four themes: (1) the prospects for improving “evidence-informed” policy making, (2) the diversity of practices concerning evidence utilization and evaluation across types of public agencies and policy arenas, (3) recent attempts to “institutionalize” evaluation as a core feature of policy development and budget approval, and (4) the relationships between public agencies and nongovernmental sources of expertise.","container-title":"Public Administration Review","DOI":"10.1111/puar.12475","issue":"3","note":"publisher: Wiley Subscription Services, Inc.\nCitation Key: Head2016\nISBN: 1540-6210","page":"472-484","title":"Toward More “Evidence-Informed” Policy Making?","volume":"76","author":[{"family":"Head","given":"Brian"}],"issued":{"date-parts":[["2016"]]}}}],"schema":"https://github.com/citation-style-language/schema/raw/master/csl-citation.json"} </w:instrText>
      </w:r>
      <w:r>
        <w:rPr>
          <w:lang w:eastAsia="en-US"/>
        </w:rPr>
        <w:fldChar w:fldCharType="separate"/>
      </w:r>
      <w:r w:rsidR="00B10239" w:rsidRPr="00B10239">
        <w:rPr>
          <w:rFonts w:ascii="Calibri" w:hAnsi="Calibri" w:cs="Calibri"/>
        </w:rPr>
        <w:t>(Head, 2016)</w:t>
      </w:r>
      <w:r>
        <w:rPr>
          <w:lang w:eastAsia="en-US"/>
        </w:rPr>
        <w:fldChar w:fldCharType="end"/>
      </w:r>
      <w:r>
        <w:rPr>
          <w:lang w:eastAsia="en-US"/>
        </w:rPr>
        <w:t xml:space="preserve">. Importantly however, this is likely only to be meaningfully achieved if there is a mutual trust between the two parties </w:t>
      </w:r>
      <w:r>
        <w:rPr>
          <w:lang w:eastAsia="en-US"/>
        </w:rPr>
        <w:fldChar w:fldCharType="begin"/>
      </w:r>
      <w:r w:rsidR="00B10239">
        <w:rPr>
          <w:lang w:eastAsia="en-US"/>
        </w:rPr>
        <w:instrText xml:space="preserve"> ADDIN ZOTERO_ITEM CSL_CITATION {"citationID":"sXcBKCrU","properties":{"formattedCitation":"(Buick et al., 2016; Gardner et al., 2021)","plainCitation":"(Buick et al., 2016; Gardner et al., 2021)","noteIndex":0},"citationItems":[{"id":3605,"uris":["http://zotero.org/users/11793275/items/V9294DJU"],"itemData":{"id":3605,"type":"article-journal","abstract":"This article presents a continuum of possible coproduction arrangements between scholars and practitioners and suggests that greater engagement is necessary to bridge the commonly cited problems that create the gap between research and practice. Reflections on an Australian case of a major public sector coproduction partnership, the highest degree of interaction on the continuum, are used to argue that successful engagement between practitioners and scholars is possible, while also recognizing the difficulties inherent in this process. The benefits and challenges of this partnership are presented, as well as critical factors that drive effective relationships. Lessons are drawn for the development of future coproduction partnerships, including the importance of recognizing that both scholars and practitioners are, in fact, researchers.","container-title":"Public Administration Review","DOI":"10.1111/puar.12481","ISSN":"15406210","issue":"1","note":"Citation Key: Buick2016","page":"35-47","title":"Effective Practitioner-Scholar Relationships: Lessons from a Coproduction Partnership","volume":"76","author":[{"family":"Buick","given":"Fiona"},{"family":"Blackman","given":"Deborah"},{"family":"O'Flynn","given":"Janine"},{"family":"O'Donnell","given":"Michael"},{"family":"West","given":"Damian"}],"issued":{"date-parts":[["2016"]]}}},{"id":4290,"uris":["http://zotero.org/users/11793275/items/P3NKUVDS"],"itemData":{"id":4290,"type":"article-journal","abstract":"This paper draws on systems thinking and selected case studies to explore how ‘prac-ademic’ partnerships can create impact in real-world settings. The paper argues that knowledge co-generation partnerships are sub-systems of the complex systems in which research is being undertaken and that governance arrangements are central to enabling partners to work together more effectively to achieve research impact. Reflecting on two successful knowledge co-generation case examples, three distinct areas are identified that need to be understood from a systems perspective to enable future success. These are the importance of (1) developing a clear framing and shared purpose; (2) developing flexibility in contracting that enables new deliverables to emerge; and (3) the project team comprising bilingual team members who understand the contextual demands of both academia and practice. These elements will facilitate the co-generation of knowledge through prac-ademic partnerships and become a path to creating research impact.","container-title":"Australian Journal of Public Administration","DOI":"10.1111/1467-8500.12513","ISSN":"14678500","issue":"3","page":"577-589","title":"Co-generated knowledge as a path for establishing research impact","volume":"80","author":[{"family":"Gardner","given":"Karen"},{"family":"Blackman","given":"Deborah"},{"family":"Buick","given":"Fiona"}],"issued":{"date-parts":[["2021"]]}}}],"schema":"https://github.com/citation-style-language/schema/raw/master/csl-citation.json"} </w:instrText>
      </w:r>
      <w:r>
        <w:rPr>
          <w:lang w:eastAsia="en-US"/>
        </w:rPr>
        <w:fldChar w:fldCharType="separate"/>
      </w:r>
      <w:r w:rsidR="00B10239" w:rsidRPr="00B10239">
        <w:rPr>
          <w:rFonts w:ascii="Calibri" w:hAnsi="Calibri" w:cs="Calibri"/>
        </w:rPr>
        <w:t>(Buick et al., 2016; Gardner et al., 2021)</w:t>
      </w:r>
      <w:r>
        <w:rPr>
          <w:lang w:eastAsia="en-US"/>
        </w:rPr>
        <w:fldChar w:fldCharType="end"/>
      </w:r>
      <w:r>
        <w:rPr>
          <w:lang w:eastAsia="en-US"/>
        </w:rPr>
        <w:t xml:space="preserve">. </w:t>
      </w:r>
      <w:r w:rsidR="00EE0107">
        <w:rPr>
          <w:lang w:eastAsia="en-US"/>
        </w:rPr>
        <w:t>B</w:t>
      </w:r>
      <w:r>
        <w:rPr>
          <w:lang w:eastAsia="en-US"/>
        </w:rPr>
        <w:t xml:space="preserve">ringing academics and policy makers together will not, alone, lead to better collaboration. The collaboration must be built on authenticity and trustworthiness </w:t>
      </w:r>
      <w:r>
        <w:rPr>
          <w:lang w:eastAsia="en-US"/>
        </w:rPr>
        <w:fldChar w:fldCharType="begin"/>
      </w:r>
      <w:r w:rsidR="00B10239">
        <w:rPr>
          <w:lang w:eastAsia="en-US"/>
        </w:rPr>
        <w:instrText xml:space="preserve"> ADDIN ZOTERO_ITEM CSL_CITATION {"citationID":"ToxpAcfo","properties":{"formattedCitation":"(Mols et al., 2018)","plainCitation":"(Mols et al., 2018)","noteIndex":0},"citationItems":[{"id":666,"uris":["http://zotero.org/users/11793275/items/RRPVNNEX"],"itemData":{"id":666,"type":"article-journal","container-title":"Evidence &amp; Policy","issue":"TBC","note":"Citation Key: Mols2018","title":"Bridging the research–policy gap: the importance of effective identity leadership and shared commitment","volume":"TBC","author":[{"family":"Mols","given":"Frank"},{"family":"Head","given":"Brian"},{"family":"Bell","given":"Jennifer"}],"issued":{"date-parts":[["2018"]]}}}],"schema":"https://github.com/citation-style-language/schema/raw/master/csl-citation.json"} </w:instrText>
      </w:r>
      <w:r>
        <w:rPr>
          <w:lang w:eastAsia="en-US"/>
        </w:rPr>
        <w:fldChar w:fldCharType="separate"/>
      </w:r>
      <w:r w:rsidR="00B10239" w:rsidRPr="00B10239">
        <w:rPr>
          <w:rFonts w:ascii="Calibri" w:hAnsi="Calibri" w:cs="Calibri"/>
        </w:rPr>
        <w:t>(Mols et al., 2018)</w:t>
      </w:r>
      <w:r>
        <w:rPr>
          <w:lang w:eastAsia="en-US"/>
        </w:rPr>
        <w:fldChar w:fldCharType="end"/>
      </w:r>
      <w:r>
        <w:rPr>
          <w:lang w:eastAsia="en-US"/>
        </w:rPr>
        <w:t>.</w:t>
      </w:r>
    </w:p>
    <w:p w:rsidR="0083003A" w:rsidRDefault="0083003A" w:rsidP="00E84510">
      <w:pPr>
        <w:spacing w:line="276" w:lineRule="auto"/>
        <w:rPr>
          <w:lang w:eastAsia="en-US"/>
        </w:rPr>
      </w:pPr>
      <w:r>
        <w:rPr>
          <w:lang w:eastAsia="en-US"/>
        </w:rPr>
        <w:t xml:space="preserve">To address the </w:t>
      </w:r>
      <w:r w:rsidR="00EE0107">
        <w:rPr>
          <w:lang w:eastAsia="en-US"/>
        </w:rPr>
        <w:t xml:space="preserve">differences </w:t>
      </w:r>
      <w:r>
        <w:rPr>
          <w:lang w:eastAsia="en-US"/>
        </w:rPr>
        <w:t>between the two communities, sometimes a third party is also presented as a way of brokering relationships and translation. Commonly known as knowledge brokers, these actors are presented as</w:t>
      </w:r>
      <w:r w:rsidR="00E84510">
        <w:rPr>
          <w:lang w:eastAsia="en-US"/>
        </w:rPr>
        <w:t xml:space="preserve"> a possible solution to navigating</w:t>
      </w:r>
      <w:r>
        <w:rPr>
          <w:lang w:eastAsia="en-US"/>
        </w:rPr>
        <w:t xml:space="preserve"> the barriers between the two worlds. These can take many institutional forms, such as external and independent like the UK’s What Works Centres (</w:t>
      </w:r>
      <w:hyperlink r:id="rId14" w:history="1">
        <w:r w:rsidRPr="00E07718">
          <w:rPr>
            <w:rStyle w:val="Hyperlink"/>
            <w:lang w:eastAsia="en-US"/>
          </w:rPr>
          <w:t>https://www.gov.uk/guidance/what-works-network</w:t>
        </w:r>
      </w:hyperlink>
      <w:r>
        <w:rPr>
          <w:lang w:eastAsia="en-US"/>
        </w:rPr>
        <w:t xml:space="preserve">) or supported by universities in the form of a Policy Lab or Research Institute. Government funded bodies such as the Australian Institute for Health and Welfare or the Indigenous Mental Health and Suicide Prevention Clearinghouse also do important brokerage work. Some internal government teams, such as that of the Behavioural Insights Teams (in their varied forms), can be effective in bringing in expertise and facilitating projects and partnerships. They do many different types of work, brokering relationships, disseminating and translating ideas and facilitating the development of research networks </w:t>
      </w:r>
      <w:r>
        <w:rPr>
          <w:lang w:eastAsia="en-US"/>
        </w:rPr>
        <w:fldChar w:fldCharType="begin"/>
      </w:r>
      <w:r w:rsidR="00B10239">
        <w:rPr>
          <w:lang w:eastAsia="en-US"/>
        </w:rPr>
        <w:instrText xml:space="preserve"> ADDIN ZOTERO_ITEM CSL_CITATION {"citationID":"VVDeuVPu","properties":{"formattedCitation":"(Auld et al., 2023; Bandola-Gill &amp; Lyall, 2017; Bornbaum et al., 2015; Knight &amp; Lightowler, 2010)","plainCitation":"(Auld et al., 2023; Bandola-Gill &amp; Lyall, 2017; Bornbaum et al., 2015; Knight &amp; Lightowler, 2010)","noteIndex":0},"citationItems":[{"id":8616,"uris":["http://zotero.org/users/11793275/items/XKKHK3EY"],"itemData":{"id":8616,"type":"article-journal","abstract":"Background: Knowledge brokers in higher education are described as requiring a broad range of skills and characteristics, leading to both role conflict and ambiguity. Although existing studies report broad concepts regarding the role of knowledge brokers, the activities that they actually perform to broker knowledge are not systematically reported or impact evaluated. Aims and objectives: This paper aims to summarise the current literature on the role of knowledge brokers and describe this role in a higher education context. In an exploratory study, as two knowledge brokers we recorded our activities within a school of health in a large university setting using the Expert Recommendations for Implementation Change (ERIC) categories over a period of nine months. Using this report, we use the analogy of a musical to translate the role of knowledge broker. Considering the knowledge brokerage roles of musical director, set designer, choreographer, costume designer and sound and lighting, we discuss the impact of knowledge brokerage activities on actors relaying their knowledge story to an end-user audience. Knowledge brokers in the higher education context primarily perform activities in four areas: know your cast and crew; train your cast and crew; rehearse and review; and provide hands-on support. Key conclusions: Understanding the role of knowledge brokers may be enhanced by using the analogy of a musical. Due to the diverse nature of these roles, it is recommended that knowledge brokerage in higher education is performed in teams, where knowledge brokers can utilise different skill sets to facilitate their work.","container-title":"Evidence &amp; Policy","DOI":"10.1332/174426421X16397424861558","ISSN":"1744-2648, 1744-2656","issue":"1","language":"en","note":"publisher: Policy Press\nsection: Evidence &amp; Policy","page":"149-164","source":"bristoluniversitypressdigital.com","title":"Knowledge Brokerage: The Musical: an analogy for explaining the role of knowledge brokers in a university setting","title-short":"Knowledge Brokerage","volume":"19","author":[{"family":"Auld","given":"Megan"},{"family":"Doig","given":"Emmah"},{"family":"Bennett","given":"Sally"}],"issued":{"date-parts":[["2023",2,1]]}}},{"id":1273,"uris":["http://zotero.org/users/11793275/items/WCMZ2AZR"],"itemData":{"id":1273,"type":"chapter","container-title":"Handbook of Policy Formulation","event-place":"Cheltenham, UK","ISBN":"978-1-78471-932-6","note":"Citation Key: Bandola-Gill2017","publisher":"Edward Elgar","publisher-place":"Cheltenham, UK","title":"Knowledge brokers and policy advice in policy formulation","URL":"https://books.google.com.au/books?id=P_6lDgAAQBAJ","author":[{"family":"Bandola-Gill","given":"J"},{"family":"Lyall","given":"C"}],"editor":[{"family":"Howlett","given":"M"},{"family":"Mukherjee","given":"I"}],"issued":{"date-parts":[["2017"]]}}},{"id":8613,"uris":["http://zotero.org/users/11793275/items/3SGFS9TT"],"itemData":{"id":8613,"type":"article-journal","abstract":"Knowledge brokers (KBs) work collaboratively with key stakeholders to facilitate the transfer and exchange of information in a given context. Currently, there is a perceived lack of evidence about the effectiveness of knowledge brokering and the factors that influence its success as a knowledge translation (KT) mechanism. Thus, the goal of this review was to systematically gather evidence regarding the nature of knowledge brokering in health-related settings and determine if KBs effectively contributed to KT in these settings.","container-title":"Implementation Science","DOI":"10.1186/s13012-015-0351-9","ISSN":"1748-5908","issue":"1","journalAbbreviation":"Implementation Science","page":"162","source":"BioMed Central","title":"Exploring the function and effectiveness of knowledge brokers as facilitators of knowledge translation in health-related settings: a systematic review and thematic analysis","title-short":"Exploring the function and effectiveness of knowledge brokers as facilitators of knowledge translation in health-related settings","volume":"10","author":[{"family":"Bornbaum","given":"Catherine C."},{"family":"Kornas","given":"Kathy"},{"family":"Peirson","given":"Leslea"},{"family":"Rosella","given":"Laura C."}],"issued":{"date-parts":[["2015",11,20]]}}},{"id":8610,"uris":["http://zotero.org/users/11793275/items/DKN9UAMX"],"itemData":{"id":8610,"type":"article-journal","abstract":"Through reflections on our own experiences, this paper explores one approach to knowledge exchange that appears to be being used increasingly in social sciences in Scottish universities: the employment of dedicated ‘knowledge exchange professionals’ or knowledge brokers. We argue that the ambiguity and hybridity of specialist knowledge exchange roles as they are emerging currently in university social science settings lead to challenges, although also opportunities, at different stages of knowledge exchange appointments. We discuss issues relating to recruitment; management and accountability; recognition and integration; professional support and development; and reward, promotion and career pathways.","container-title":"Evidence &amp; Policy","DOI":"10.1332/174426410X535891","ISSN":"1744-2648, 1744-2656","issue":"4","language":"en","note":"publisher: Policy Press\nsection: Evidence &amp; Policy","page":"543-556","source":"bristoluniversitypressdigital.com","title":"Reflections of ‘knowledge exchange professionals’ in the social sciences: emerging opportunities and challenges for university-based knowledge brokers","title-short":"Reflections of ‘knowledge exchange professionals’ in the social sciences","volume":"6","author":[{"family":"Knight","given":"Christine"},{"family":"Lightowler","given":"Claire"}],"issued":{"date-parts":[["2010",11,1]]}}}],"schema":"https://github.com/citation-style-language/schema/raw/master/csl-citation.json"} </w:instrText>
      </w:r>
      <w:r>
        <w:rPr>
          <w:lang w:eastAsia="en-US"/>
        </w:rPr>
        <w:fldChar w:fldCharType="separate"/>
      </w:r>
      <w:r w:rsidR="00B10239" w:rsidRPr="00B10239">
        <w:rPr>
          <w:rFonts w:ascii="Calibri" w:hAnsi="Calibri" w:cs="Calibri"/>
        </w:rPr>
        <w:t>(Auld et al., 2023; Bandola-Gill &amp; Lyall, 2017; Bornbaum et al., 2015; Knight &amp; Lightowler, 2010)</w:t>
      </w:r>
      <w:r>
        <w:rPr>
          <w:lang w:eastAsia="en-US"/>
        </w:rPr>
        <w:fldChar w:fldCharType="end"/>
      </w:r>
      <w:r>
        <w:rPr>
          <w:lang w:eastAsia="en-US"/>
        </w:rPr>
        <w:t>. However, brokerage is a broad and complex idea in and of itself and not a panacea.</w:t>
      </w:r>
    </w:p>
    <w:p w:rsidR="0083003A" w:rsidRDefault="00E84510" w:rsidP="00E84510">
      <w:pPr>
        <w:spacing w:line="276" w:lineRule="auto"/>
        <w:rPr>
          <w:lang w:eastAsia="en-US"/>
        </w:rPr>
      </w:pPr>
      <w:r w:rsidRPr="00891E57">
        <w:rPr>
          <w:lang w:eastAsia="en-US"/>
        </w:rPr>
        <w:t>These ideas point to</w:t>
      </w:r>
      <w:r w:rsidR="0083003A" w:rsidRPr="00891E57">
        <w:rPr>
          <w:lang w:eastAsia="en-US"/>
        </w:rPr>
        <w:t xml:space="preserve"> opportunities to develop more effective collaborative partnerships between the APS and academia, but also highlight some of the ongoing challenges. </w:t>
      </w:r>
      <w:r w:rsidR="00EE0107" w:rsidRPr="00891E57">
        <w:rPr>
          <w:lang w:eastAsia="en-US"/>
        </w:rPr>
        <w:t>M</w:t>
      </w:r>
      <w:r w:rsidR="0083003A" w:rsidRPr="00891E57">
        <w:rPr>
          <w:lang w:eastAsia="en-US"/>
        </w:rPr>
        <w:t>any of these debates are long-standing, with concerns dating back to the very development of the policy sciences</w:t>
      </w:r>
      <w:r w:rsidR="00EE0107" w:rsidRPr="00891E57">
        <w:rPr>
          <w:lang w:eastAsia="en-US"/>
        </w:rPr>
        <w:t xml:space="preserve"> but t</w:t>
      </w:r>
      <w:r w:rsidR="00855E6A" w:rsidRPr="00891E57">
        <w:rPr>
          <w:lang w:eastAsia="en-US"/>
        </w:rPr>
        <w:t xml:space="preserve">hese issues </w:t>
      </w:r>
      <w:r w:rsidR="0083003A" w:rsidRPr="00891E57">
        <w:rPr>
          <w:lang w:eastAsia="en-US"/>
        </w:rPr>
        <w:t>are surmountable</w:t>
      </w:r>
      <w:r w:rsidR="00855E6A" w:rsidRPr="00891E57">
        <w:rPr>
          <w:lang w:eastAsia="en-US"/>
        </w:rPr>
        <w:t xml:space="preserve"> with time</w:t>
      </w:r>
      <w:r w:rsidR="0083003A" w:rsidRPr="00891E57">
        <w:rPr>
          <w:lang w:eastAsia="en-US"/>
        </w:rPr>
        <w:t>.</w:t>
      </w:r>
      <w:r w:rsidR="0083003A">
        <w:rPr>
          <w:lang w:eastAsia="en-US"/>
        </w:rPr>
        <w:t xml:space="preserve"> </w:t>
      </w:r>
    </w:p>
    <w:p w:rsidR="0083003A" w:rsidRDefault="0083003A" w:rsidP="00E84510"/>
    <w:p w:rsidR="0083003A" w:rsidRPr="008C233A" w:rsidRDefault="0083003A" w:rsidP="00E84510">
      <w:pPr>
        <w:pStyle w:val="Heading2"/>
        <w:rPr>
          <w:sz w:val="28"/>
        </w:rPr>
      </w:pPr>
      <w:bookmarkStart w:id="12" w:name="_Toc140834169"/>
      <w:r w:rsidRPr="008C233A">
        <w:rPr>
          <w:sz w:val="28"/>
        </w:rPr>
        <w:t>Design</w:t>
      </w:r>
      <w:bookmarkEnd w:id="12"/>
    </w:p>
    <w:p w:rsidR="00936A25" w:rsidRPr="00936A25" w:rsidRDefault="00E84510" w:rsidP="00E84510">
      <w:pPr>
        <w:keepLines/>
        <w:rPr>
          <w:rFonts w:cstheme="minorHAnsi"/>
        </w:rPr>
      </w:pPr>
      <w:r>
        <w:rPr>
          <w:rFonts w:cstheme="minorHAnsi"/>
        </w:rPr>
        <w:t>The majority of initiatives</w:t>
      </w:r>
      <w:r w:rsidR="00936A25" w:rsidRPr="00936A25">
        <w:rPr>
          <w:rFonts w:cstheme="minorHAnsi"/>
        </w:rPr>
        <w:t xml:space="preserve"> developed </w:t>
      </w:r>
      <w:r w:rsidR="00EE0107">
        <w:rPr>
          <w:rFonts w:cstheme="minorHAnsi"/>
        </w:rPr>
        <w:t xml:space="preserve">on </w:t>
      </w:r>
      <w:r w:rsidR="00936A25" w:rsidRPr="00936A25">
        <w:rPr>
          <w:rFonts w:cstheme="minorHAnsi"/>
        </w:rPr>
        <w:t>academic and public sector</w:t>
      </w:r>
      <w:r w:rsidR="00EE0107">
        <w:rPr>
          <w:rFonts w:cstheme="minorHAnsi"/>
        </w:rPr>
        <w:t xml:space="preserve"> collaboration</w:t>
      </w:r>
      <w:r w:rsidR="00936A25" w:rsidRPr="00936A25">
        <w:rPr>
          <w:rFonts w:cstheme="minorHAnsi"/>
        </w:rPr>
        <w:t xml:space="preserve"> have</w:t>
      </w:r>
      <w:r>
        <w:rPr>
          <w:rFonts w:cstheme="minorHAnsi"/>
        </w:rPr>
        <w:t xml:space="preserve"> </w:t>
      </w:r>
      <w:r w:rsidR="00936A25" w:rsidRPr="00936A25">
        <w:rPr>
          <w:rFonts w:cstheme="minorHAnsi"/>
        </w:rPr>
        <w:t>been focused on discovery. How can academics better communicate their research? How can academics find out what problems matter to the public sector? How can the two work together more effectively</w:t>
      </w:r>
      <w:r w:rsidR="003926DA">
        <w:rPr>
          <w:rFonts w:cstheme="minorHAnsi"/>
        </w:rPr>
        <w:t>? Unfortunately, this means</w:t>
      </w:r>
      <w:r w:rsidR="00936A25" w:rsidRPr="00936A25">
        <w:rPr>
          <w:rFonts w:cstheme="minorHAnsi"/>
        </w:rPr>
        <w:t xml:space="preserve"> very little focus </w:t>
      </w:r>
      <w:r w:rsidR="003926DA">
        <w:rPr>
          <w:rFonts w:cstheme="minorHAnsi"/>
        </w:rPr>
        <w:t xml:space="preserve">is given to how </w:t>
      </w:r>
      <w:r w:rsidR="00936A25" w:rsidRPr="00936A25">
        <w:rPr>
          <w:rFonts w:cstheme="minorHAnsi"/>
        </w:rPr>
        <w:t>collaborations could or should be designed, delivered and reviewed. The following sections will explore these ideas in more detail.</w:t>
      </w:r>
    </w:p>
    <w:p w:rsidR="00936A25" w:rsidRPr="00936A25" w:rsidRDefault="003545E3" w:rsidP="00E84510">
      <w:pPr>
        <w:keepLines/>
        <w:rPr>
          <w:rFonts w:cstheme="minorHAnsi"/>
        </w:rPr>
      </w:pPr>
      <w:r>
        <w:rPr>
          <w:rFonts w:cstheme="minorHAnsi"/>
        </w:rPr>
        <w:t>S</w:t>
      </w:r>
      <w:r w:rsidR="00936A25" w:rsidRPr="00936A25">
        <w:rPr>
          <w:rFonts w:cstheme="minorHAnsi"/>
        </w:rPr>
        <w:t>everal conditions can help to facilitate better collaboration</w:t>
      </w:r>
      <w:r>
        <w:rPr>
          <w:rFonts w:cstheme="minorHAnsi"/>
        </w:rPr>
        <w:t xml:space="preserve"> during design</w:t>
      </w:r>
      <w:r w:rsidR="00936A25" w:rsidRPr="00936A25">
        <w:rPr>
          <w:rFonts w:cstheme="minorHAnsi"/>
        </w:rPr>
        <w:t>. The first is addressing any asymmetry in power relationships. If there are imbalances in “capacity, organization, status, or resources to participate, or to participate on an equal footing with other stakeholders, the collaborative</w:t>
      </w:r>
      <w:r w:rsidR="007E5C28">
        <w:rPr>
          <w:rFonts w:cstheme="minorHAnsi"/>
        </w:rPr>
        <w:t xml:space="preserve">… </w:t>
      </w:r>
      <w:r w:rsidR="00936A25" w:rsidRPr="00936A25">
        <w:rPr>
          <w:rFonts w:cstheme="minorHAnsi"/>
        </w:rPr>
        <w:t xml:space="preserve">process will be prone to manipulation by stronger actors” </w:t>
      </w:r>
      <w:r w:rsidR="00936A25" w:rsidRPr="00936A25">
        <w:rPr>
          <w:rFonts w:cstheme="minorHAnsi"/>
        </w:rPr>
        <w:fldChar w:fldCharType="begin"/>
      </w:r>
      <w:r w:rsidR="00B10239">
        <w:rPr>
          <w:rFonts w:cstheme="minorHAnsi"/>
        </w:rPr>
        <w:instrText xml:space="preserve"> ADDIN ZOTERO_ITEM CSL_CITATION {"citationID":"Iz1hEKke","properties":{"formattedCitation":"(Ansell &amp; Gash, 2008, p. 551)","plainCitation":"(Ansell &amp; Gash, 2008, p. 551)","noteIndex":0},"citationItems":[{"id":8648,"uris":["http://zotero.org/users/11793275/items/X7JL5CAH"],"itemData":{"id":8648,"type":"article-journal","abstract":"Over the past few decades, a new form of governance has emerged to replace adversarial and managerial modes of policy making and implementation. Collaborative governance, as it has come to be known, brings public and private stakeholders together in collective forums with public agencies to engage in consensus-oriented decision making. In this article, we conduct a meta-analytical study of the existing literature on collaborative governance with the goal of elaborating a contingency model of collaborative governance. After reviewing 137 cases of collaborative governance across a range of policy sectors, we identify critical variables that will influence whether or not this mode of governance will produce successful collaboration. These variables include the prior history of conflict or cooperation, the incentives for stakeholders to participate, power and resources imbalances, leadership, and institutional design. We also identify a series of factors that are crucial within the collaborative process itself. These factors include face-to-face dialogue, trust building, and the development of commitment and shared understanding. We found that a virtuous cycle of collaboration tends to develop when collaborative forums focus on “small wins” that deepen trust, commitment, and shared understanding. The article concludes with a discussion of the implications of our contingency model for practitioners and for future research on collaborative governance.","container-title":"Journal of Public Administration Research and Theory","DOI":"10.1093/jopart/mum032","ISSN":"1053-1858","issue":"4","journalAbbreviation":"Journal of Public Administration Research and Theory","page":"543-571","source":"Silverchair","title":"Collaborative Governance in Theory and Practice","volume":"18","author":[{"family":"Ansell","given":"Chris"},{"family":"Gash","given":"Alison"}],"issued":{"date-parts":[["2008",10,1]]}},"locator":"551","label":"page"}],"schema":"https://github.com/citation-style-language/schema/raw/master/csl-citation.json"} </w:instrText>
      </w:r>
      <w:r w:rsidR="00936A25" w:rsidRPr="00936A25">
        <w:rPr>
          <w:rFonts w:cstheme="minorHAnsi"/>
        </w:rPr>
        <w:fldChar w:fldCharType="separate"/>
      </w:r>
      <w:r w:rsidR="00B10239" w:rsidRPr="00B10239">
        <w:rPr>
          <w:rFonts w:ascii="Calibri" w:hAnsi="Calibri" w:cs="Calibri"/>
        </w:rPr>
        <w:t>(Ansell &amp; Gash, 2008, p. 551)</w:t>
      </w:r>
      <w:r w:rsidR="00936A25" w:rsidRPr="00936A25">
        <w:rPr>
          <w:rFonts w:cstheme="minorHAnsi"/>
        </w:rPr>
        <w:fldChar w:fldCharType="end"/>
      </w:r>
      <w:r w:rsidR="003926DA">
        <w:rPr>
          <w:rFonts w:cstheme="minorHAnsi"/>
        </w:rPr>
        <w:t xml:space="preserve">. This means </w:t>
      </w:r>
      <w:r w:rsidR="00936A25" w:rsidRPr="00936A25">
        <w:rPr>
          <w:rFonts w:cstheme="minorHAnsi"/>
        </w:rPr>
        <w:t>groups that are more cohesive and organised will have more power when shaping a collaborative project. Academics, especially individuals who are negotiating independently, will likely be at a disadvantage. Individuals from ATSI, CALD, LGBTQI+ communities and those under</w:t>
      </w:r>
      <w:r w:rsidR="003926DA">
        <w:rPr>
          <w:rFonts w:cstheme="minorHAnsi"/>
        </w:rPr>
        <w:t>taking research which represent</w:t>
      </w:r>
      <w:r w:rsidR="00936A25" w:rsidRPr="00936A25">
        <w:rPr>
          <w:rFonts w:cstheme="minorHAnsi"/>
        </w:rPr>
        <w:t xml:space="preserve"> these communities (and other disadvantaged demographic groups) could find this particularly challenging. Some universities and research groups have more structured ways of engaging and these groups may experience an advantage in negotiating partnerships, however, by and large, the public sector will have more power in these collaborative arrangements. Addressing this imbalance is an important component of the design of a collaboration. </w:t>
      </w:r>
    </w:p>
    <w:p w:rsidR="00936A25" w:rsidRPr="00936A25" w:rsidRDefault="00936A25" w:rsidP="00E84510">
      <w:pPr>
        <w:keepLines/>
        <w:rPr>
          <w:rFonts w:cstheme="minorHAnsi"/>
        </w:rPr>
      </w:pPr>
      <w:r w:rsidRPr="00936A25">
        <w:rPr>
          <w:rFonts w:cstheme="minorHAnsi"/>
        </w:rPr>
        <w:t xml:space="preserve">Addressing the power imbalance will also need to include a consideration of how these partners will benefit from the collaboration. Do they have the right skills, time and capacity to participate? It is an ethical question to ask whether all parties benefit </w:t>
      </w:r>
      <w:r w:rsidRPr="00936A25">
        <w:rPr>
          <w:rFonts w:cstheme="minorHAnsi"/>
        </w:rPr>
        <w:fldChar w:fldCharType="begin"/>
      </w:r>
      <w:r w:rsidR="00B10239">
        <w:rPr>
          <w:rFonts w:cstheme="minorHAnsi"/>
        </w:rPr>
        <w:instrText xml:space="preserve"> ADDIN ZOTERO_ITEM CSL_CITATION {"citationID":"d28t7ViM","properties":{"formattedCitation":"(Sullivan, 2022, p. 109)","plainCitation":"(Sullivan, 2022, p. 109)","noteIndex":0},"citationItems":[{"id":5269,"uris":["http://zotero.org/users/11793275/items/64N9EGVF"],"itemData":{"id":5269,"type":"book","event-place":"Canberra, Australia","ISBN":"978-3-031-09584-9","publisher":"Palgrave MacMillan","publisher-place":"Canberra, Australia","title":"Collaboration and Public Policy Agency in the Pursuit of Public Purpose","author":[{"family":"Sullivan","given":"Helen"}],"issued":{"date-parts":[["2022"]]}},"locator":"109"}],"schema":"https://github.com/citation-style-language/schema/raw/master/csl-citation.json"} </w:instrText>
      </w:r>
      <w:r w:rsidRPr="00936A25">
        <w:rPr>
          <w:rFonts w:cstheme="minorHAnsi"/>
        </w:rPr>
        <w:fldChar w:fldCharType="separate"/>
      </w:r>
      <w:r w:rsidR="00B10239" w:rsidRPr="00B10239">
        <w:rPr>
          <w:rFonts w:ascii="Calibri" w:hAnsi="Calibri" w:cs="Calibri"/>
        </w:rPr>
        <w:t>(Sullivan, 2022, p. 109)</w:t>
      </w:r>
      <w:r w:rsidRPr="00936A25">
        <w:rPr>
          <w:rFonts w:cstheme="minorHAnsi"/>
        </w:rPr>
        <w:fldChar w:fldCharType="end"/>
      </w:r>
      <w:r w:rsidRPr="00936A25">
        <w:rPr>
          <w:rFonts w:cstheme="minorHAnsi"/>
        </w:rPr>
        <w:t>. Making policy better is a laudable goal, but academic collaborators, particularly from less privileged groups, have a balance of commitments that should not be assumed as less important. Equally, research which does not address a clear public problem (but is perhaps of academic interest), should not be prioritised in this context. For example, Newman (2011) wrote about her experience working at the boundary of research and academia – noting that the challenges included:</w:t>
      </w:r>
    </w:p>
    <w:p w:rsidR="00936A25" w:rsidRPr="00936A25" w:rsidRDefault="00936A25" w:rsidP="00E84510">
      <w:pPr>
        <w:keepLines/>
        <w:ind w:left="720"/>
        <w:rPr>
          <w:rFonts w:cstheme="minorHAnsi"/>
        </w:rPr>
      </w:pPr>
      <w:r w:rsidRPr="00936A25">
        <w:rPr>
          <w:rFonts w:cstheme="minorHAnsi"/>
        </w:rPr>
        <w:t>struggles to overcome the limits of specification in order to do what we considered to be useful research, and concerns about how we might use the opportunities offered by commissioned research to advance thinking and theory building in the field – [which was] an almost impossible process given the need to focus on writing reports for funders and bidding for the next project. (Newman 2011, 475)</w:t>
      </w:r>
    </w:p>
    <w:p w:rsidR="00936A25" w:rsidRPr="00936A25" w:rsidRDefault="00936A25" w:rsidP="00E84510">
      <w:pPr>
        <w:keepLines/>
        <w:rPr>
          <w:rFonts w:cstheme="minorHAnsi"/>
        </w:rPr>
      </w:pPr>
      <w:r w:rsidRPr="00936A25">
        <w:rPr>
          <w:rFonts w:cstheme="minorHAnsi"/>
        </w:rPr>
        <w:t>This was in opposition to her experiences working within government where,</w:t>
      </w:r>
    </w:p>
    <w:p w:rsidR="00936A25" w:rsidRPr="00936A25" w:rsidRDefault="00936A25" w:rsidP="00E84510">
      <w:pPr>
        <w:keepLines/>
        <w:ind w:left="720"/>
        <w:rPr>
          <w:rFonts w:cstheme="minorHAnsi"/>
        </w:rPr>
      </w:pPr>
      <w:r w:rsidRPr="00936A25">
        <w:rPr>
          <w:rFonts w:cstheme="minorHAnsi"/>
        </w:rPr>
        <w:t>the short, sharp, but inevitably simplifying messages tended to be welcomed by policy actors, although their production tended to be strongly resisted by researchers not only on the basis of the incompleteness of the evidence but also since they wanted the complexity and subtlety of the argument, and the qualifications and caveats surrounding the evidence, to be fully recognised. (Newman 2011, 475)</w:t>
      </w:r>
    </w:p>
    <w:p w:rsidR="00936A25" w:rsidRPr="00936A25" w:rsidRDefault="00936A25" w:rsidP="00E84510">
      <w:pPr>
        <w:keepLines/>
        <w:rPr>
          <w:rFonts w:cstheme="minorHAnsi"/>
        </w:rPr>
      </w:pPr>
      <w:r w:rsidRPr="00936A25">
        <w:rPr>
          <w:rFonts w:cstheme="minorHAnsi"/>
        </w:rPr>
        <w:t>Understanding the existence of these disparities from the outset, will allow for a design which provides opportunities for both.</w:t>
      </w:r>
    </w:p>
    <w:p w:rsidR="00936A25" w:rsidRPr="00936A25" w:rsidRDefault="00936A25" w:rsidP="00E84510">
      <w:pPr>
        <w:keepLines/>
        <w:rPr>
          <w:rFonts w:cstheme="minorHAnsi"/>
        </w:rPr>
      </w:pPr>
      <w:r w:rsidRPr="00936A25">
        <w:rPr>
          <w:rFonts w:cstheme="minorHAnsi"/>
        </w:rPr>
        <w:t xml:space="preserve">This highlights that interdependence is another important condition. If groups feel that they can more effectively achieve their goals independently, they are less likely to collaborate successfully </w:t>
      </w:r>
      <w:r w:rsidRPr="00936A25">
        <w:rPr>
          <w:rFonts w:cstheme="minorHAnsi"/>
        </w:rPr>
        <w:fldChar w:fldCharType="begin"/>
      </w:r>
      <w:r w:rsidRPr="00936A25">
        <w:rPr>
          <w:rFonts w:cstheme="minorHAnsi"/>
        </w:rPr>
        <w:instrText xml:space="preserve"> ADDIN ZOTERO_ITEM CSL_CITATION {"citationID":"VcwI8h3k","properties":{"formattedCitation":"(Bryson, Crosby, and Stone 2015, 652)","plainCitation":"(Bryson, Crosby, and Stone 2015, 652)","dontUpdate":true,"noteIndex":0},"citationItems":[{"id":8642,"uris":["http://zotero.org/users/11793275/items/7AT56GZJ"],"itemData":{"id":8642,"type":"article-journal","abstract":"Theoretical and empirical work on collaboration has proliferated in the last decade. The authors’ 2006 article on designing and implementing cross-sector collaborations was a part of, and helped stimulate, this growth. This article reviews the authors’ and others’ important theoretical frameworks from the last decade, along with key empirical results. Research indicates how complicated and challenging collaboration can be, even though it may be needed now more than ever. The article concludes with a summary of areas in which scholarship offers reasonably settled conclusions and an extensive list of recommendations for future research. The authors favor research that takes a dynamic, multilevel systems view and makes use of both quantitative and qualitative methods, especially using longitudinal comparative case studies.","container-title":"Public Administration Review","DOI":"10.1111/puar.12432","ISSN":"1540-6210","issue":"5","language":"en","note":"_eprint: https://onlinelibrary.wiley.com/doi/pdf/10.1111/puar.12432","page":"647-663","source":"Wiley Online Library","title":"Designing and Implementing Cross-Sector Collaborations: Needed and Challenging","title-short":"Designing and Implementing Cross-Sector Collaborations","volume":"75","author":[{"family":"Bryson","given":"John M."},{"family":"Crosby","given":"Barbara C."},{"family":"Stone","given":"Melissa Middleton"}],"issued":{"date-parts":[["2015"]]}},"locator":"652","label":"page"}],"schema":"https://github.com/citation-style-language/schema/raw/master/csl-citation.json"} </w:instrText>
      </w:r>
      <w:r w:rsidRPr="00936A25">
        <w:rPr>
          <w:rFonts w:cstheme="minorHAnsi"/>
        </w:rPr>
        <w:fldChar w:fldCharType="separate"/>
      </w:r>
      <w:r w:rsidRPr="00936A25">
        <w:rPr>
          <w:rFonts w:cstheme="minorHAnsi"/>
        </w:rPr>
        <w:t>(Bryson, Crosby, and Stone 2015)</w:t>
      </w:r>
      <w:r w:rsidRPr="00936A25">
        <w:rPr>
          <w:rFonts w:cstheme="minorHAnsi"/>
        </w:rPr>
        <w:fldChar w:fldCharType="end"/>
      </w:r>
      <w:r w:rsidRPr="00936A25">
        <w:rPr>
          <w:rFonts w:cstheme="minorHAnsi"/>
        </w:rPr>
        <w:t xml:space="preserve">. It is important that both parties see the other as a contributor to success, rather than a gatekeeper to the necessary data or a stamp of legitimacy </w:t>
      </w:r>
      <w:r w:rsidRPr="00936A25">
        <w:rPr>
          <w:rFonts w:cstheme="minorHAnsi"/>
        </w:rPr>
        <w:fldChar w:fldCharType="begin"/>
      </w:r>
      <w:r w:rsidR="00B10239">
        <w:rPr>
          <w:rFonts w:cstheme="minorHAnsi"/>
        </w:rPr>
        <w:instrText xml:space="preserve"> ADDIN ZOTERO_ITEM CSL_CITATION {"citationID":"S5LhheXw","properties":{"formattedCitation":"(Boswell, 2009)","plainCitation":"(Boswell, 2009)","noteIndex":0},"citationItems":[{"id":3516,"uris":["http://zotero.org/users/11793275/items/BHBPMSYH"],"itemData":{"id":3516,"type":"book","abstract":"Why do politicians and civil servants commission research and what use do they make of it in policymaking? The received wisdom is that research contributes to improving government policy. Christina Boswell challenges this view, arguing that policymakers are just as likely to value expert knowledge for two alternative reasons: as a way of lending authority to their preferences","event-place":"Cambridge","note":"DOI: 10.1017/CBO9780511581120\nCitation Key: Boswell2009","publisher":"Cambridge University Press","publisher-place":"Cambridge","title":"The Political Uses of Expert Knowledge","author":[{"family":"Boswell","given":"Christina"}],"issued":{"date-parts":[["2009"]]}}}],"schema":"https://github.com/citation-style-language/schema/raw/master/csl-citation.json"} </w:instrText>
      </w:r>
      <w:r w:rsidRPr="00936A25">
        <w:rPr>
          <w:rFonts w:cstheme="minorHAnsi"/>
        </w:rPr>
        <w:fldChar w:fldCharType="separate"/>
      </w:r>
      <w:r w:rsidR="00B10239" w:rsidRPr="00B10239">
        <w:rPr>
          <w:rFonts w:ascii="Calibri" w:hAnsi="Calibri" w:cs="Calibri"/>
        </w:rPr>
        <w:t>(Boswell, 2009)</w:t>
      </w:r>
      <w:r w:rsidRPr="00936A25">
        <w:rPr>
          <w:rFonts w:cstheme="minorHAnsi"/>
        </w:rPr>
        <w:fldChar w:fldCharType="end"/>
      </w:r>
      <w:r w:rsidRPr="00936A25">
        <w:rPr>
          <w:rFonts w:cstheme="minorHAnsi"/>
        </w:rPr>
        <w:t xml:space="preserve">. A common frustration for academic partners is the feeling that their work ultimately fails to shape the policy decisions made </w:t>
      </w:r>
      <w:r w:rsidRPr="00936A25">
        <w:rPr>
          <w:rFonts w:cstheme="minorHAnsi"/>
        </w:rPr>
        <w:fldChar w:fldCharType="begin"/>
      </w:r>
      <w:r w:rsidR="009D5023">
        <w:rPr>
          <w:rFonts w:cstheme="minorHAnsi"/>
        </w:rPr>
        <w:instrText xml:space="preserve"> ADDIN ZOTERO_ITEM CSL_CITATION {"citationID":"NWhpcDMj","properties":{"formattedCitation":"(Boswell 2009, 6)","plainCitation":"(Boswell 2009, 6)","dontUpdate":true,"noteIndex":0},"citationItems":[{"id":3516,"uris":["http://zotero.org/users/11793275/items/BHBPMSYH"],"itemData":{"id":3516,"type":"book","abstract":"Why do politicians and civil servants commission research and what use do they make of it in policymaking? The received wisdom is that research contributes to improving government policy. Christina Boswell challenges this view, arguing that policymakers are just as likely to value expert knowledge for two alternative reasons: as a way of lending authority to their preferences","event-place":"Cambridge","note":"DOI: 10.1017/CBO9780511581120\nCitation Key: Boswell2009","publisher":"Cambridge University Press","publisher-place":"Cambridge","title":"The Political Uses of Expert Knowledge","author":[{"family":"Boswell","given":"Christina"}],"issued":{"date-parts":[["2009"]]}},"locator":"6","label":"page"}],"schema":"https://github.com/citation-style-language/schema/raw/master/csl-citation.json"} </w:instrText>
      </w:r>
      <w:r w:rsidRPr="00936A25">
        <w:rPr>
          <w:rFonts w:cstheme="minorHAnsi"/>
        </w:rPr>
        <w:fldChar w:fldCharType="separate"/>
      </w:r>
      <w:r w:rsidRPr="00936A25">
        <w:rPr>
          <w:rFonts w:cstheme="minorHAnsi"/>
        </w:rPr>
        <w:t>(Boswell 2009)</w:t>
      </w:r>
      <w:r w:rsidRPr="00936A25">
        <w:rPr>
          <w:rFonts w:cstheme="minorHAnsi"/>
        </w:rPr>
        <w:fldChar w:fldCharType="end"/>
      </w:r>
      <w:r w:rsidRPr="00936A25">
        <w:rPr>
          <w:rFonts w:cstheme="minorHAnsi"/>
        </w:rPr>
        <w:t>. Incentives increase as stakeholders see a direct relationship between their participation and concrete, tangible, effectual policy outcomes (Brown 2002). But they decline if stakeholders perceive their own input to be merely advisory or largely ceremonial (Futrell 2003).</w:t>
      </w:r>
    </w:p>
    <w:p w:rsidR="00936A25" w:rsidRPr="00936A25" w:rsidRDefault="00936A25" w:rsidP="00E84510">
      <w:pPr>
        <w:keepLines/>
        <w:rPr>
          <w:rFonts w:cstheme="minorHAnsi"/>
        </w:rPr>
      </w:pPr>
      <w:r w:rsidRPr="00936A25">
        <w:rPr>
          <w:rFonts w:cstheme="minorHAnsi"/>
        </w:rPr>
        <w:t>Some countermeasures which have been argued to support collaboration include:</w:t>
      </w:r>
    </w:p>
    <w:p w:rsidR="00936A25" w:rsidRPr="00936A25" w:rsidRDefault="00936A25" w:rsidP="00E84510">
      <w:pPr>
        <w:pStyle w:val="ListParagraph"/>
        <w:keepLines/>
        <w:numPr>
          <w:ilvl w:val="0"/>
          <w:numId w:val="45"/>
        </w:numPr>
        <w:contextualSpacing/>
        <w:rPr>
          <w:rFonts w:cstheme="minorHAnsi"/>
        </w:rPr>
      </w:pPr>
      <w:r w:rsidRPr="00936A25">
        <w:rPr>
          <w:rFonts w:cstheme="minorHAnsi"/>
        </w:rPr>
        <w:t>Transparency of contracts (MOU’s), processes and information</w:t>
      </w:r>
    </w:p>
    <w:p w:rsidR="00936A25" w:rsidRPr="00936A25" w:rsidRDefault="00936A25" w:rsidP="00E84510">
      <w:pPr>
        <w:pStyle w:val="ListParagraph"/>
        <w:keepLines/>
        <w:numPr>
          <w:ilvl w:val="0"/>
          <w:numId w:val="45"/>
        </w:numPr>
        <w:contextualSpacing/>
        <w:rPr>
          <w:rFonts w:cstheme="minorHAnsi"/>
        </w:rPr>
      </w:pPr>
      <w:r w:rsidRPr="00936A25">
        <w:rPr>
          <w:rFonts w:cstheme="minorHAnsi"/>
        </w:rPr>
        <w:t>Willingness to be challenged or, at least open to diverse interpretations (non-antagonistic debate)</w:t>
      </w:r>
    </w:p>
    <w:p w:rsidR="00936A25" w:rsidRPr="00936A25" w:rsidRDefault="00936A25" w:rsidP="00E84510">
      <w:pPr>
        <w:pStyle w:val="ListParagraph"/>
        <w:keepLines/>
        <w:numPr>
          <w:ilvl w:val="0"/>
          <w:numId w:val="45"/>
        </w:numPr>
        <w:contextualSpacing/>
        <w:rPr>
          <w:rFonts w:cstheme="minorHAnsi"/>
        </w:rPr>
      </w:pPr>
      <w:r w:rsidRPr="00936A25">
        <w:rPr>
          <w:rFonts w:cstheme="minorHAnsi"/>
        </w:rPr>
        <w:t xml:space="preserve">Follow-through and consistent information sharing </w:t>
      </w:r>
      <w:r w:rsidRPr="00936A25">
        <w:rPr>
          <w:rFonts w:cstheme="minorHAnsi"/>
        </w:rPr>
        <w:fldChar w:fldCharType="begin"/>
      </w:r>
      <w:r w:rsidR="00B10239">
        <w:rPr>
          <w:rFonts w:cstheme="minorHAnsi"/>
        </w:rPr>
        <w:instrText xml:space="preserve"> ADDIN ZOTERO_ITEM CSL_CITATION {"citationID":"swfqdm0U","properties":{"formattedCitation":"(Ansell &amp; Gash, 2008; Bryson et al., 2015)","plainCitation":"(Ansell &amp; Gash, 2008; Bryson et al., 2015)","noteIndex":0},"citationItems":[{"id":8648,"uris":["http://zotero.org/users/11793275/items/X7JL5CAH"],"itemData":{"id":8648,"type":"article-journal","abstract":"Over the past few decades, a new form of governance has emerged to replace adversarial and managerial modes of policy making and implementation. Collaborative governance, as it has come to be known, brings public and private stakeholders together in collective forums with public agencies to engage in consensus-oriented decision making. In this article, we conduct a meta-analytical study of the existing literature on collaborative governance with the goal of elaborating a contingency model of collaborative governance. After reviewing 137 cases of collaborative governance across a range of policy sectors, we identify critical variables that will influence whether or not this mode of governance will produce successful collaboration. These variables include the prior history of conflict or cooperation, the incentives for stakeholders to participate, power and resources imbalances, leadership, and institutional design. We also identify a series of factors that are crucial within the collaborative process itself. These factors include face-to-face dialogue, trust building, and the development of commitment and shared understanding. We found that a virtuous cycle of collaboration tends to develop when collaborative forums focus on “small wins” that deepen trust, commitment, and shared understanding. The article concludes with a discussion of the implications of our contingency model for practitioners and for future research on collaborative governance.","container-title":"Journal of Public Administration Research and Theory","DOI":"10.1093/jopart/mum032","ISSN":"1053-1858","issue":"4","journalAbbreviation":"Journal of Public Administration Research and Theory","page":"543-571","source":"Silverchair","title":"Collaborative Governance in Theory and Practice","volume":"18","author":[{"family":"Ansell","given":"Chris"},{"family":"Gash","given":"Alison"}],"issued":{"date-parts":[["2008",10,1]]}}},{"id":8642,"uris":["http://zotero.org/users/11793275/items/7AT56GZJ"],"itemData":{"id":8642,"type":"article-journal","abstract":"Theoretical and empirical work on collaboration has proliferated in the last decade. The authors’ 2006 article on designing and implementing cross-sector collaborations was a part of, and helped stimulate, this growth. This article reviews the authors’ and others’ important theoretical frameworks from the last decade, along with key empirical results. Research indicates how complicated and challenging collaboration can be, even though it may be needed now more than ever. The article concludes with a summary of areas in which scholarship offers reasonably settled conclusions and an extensive list of recommendations for future research. The authors favor research that takes a dynamic, multilevel systems view and makes use of both quantitative and qualitative methods, especially using longitudinal comparative case studies.","container-title":"Public Administration Review","DOI":"10.1111/puar.12432","ISSN":"1540-6210","issue":"5","language":"en","note":"_eprint: https://onlinelibrary.wiley.com/doi/pdf/10.1111/puar.12432","page":"647-663","source":"Wiley Online Library","title":"Designing and Implementing Cross-Sector Collaborations: Needed and Challenging","title-short":"Designing and Implementing Cross-Sector Collaborations","volume":"75","author":[{"family":"Bryson","given":"John M."},{"family":"Crosby","given":"Barbara C."},{"family":"Stone","given":"Melissa Middleton"}],"issued":{"date-parts":[["2015"]]}},"label":"page"}],"schema":"https://github.com/citation-style-language/schema/raw/master/csl-citation.json"} </w:instrText>
      </w:r>
      <w:r w:rsidRPr="00936A25">
        <w:rPr>
          <w:rFonts w:cstheme="minorHAnsi"/>
        </w:rPr>
        <w:fldChar w:fldCharType="separate"/>
      </w:r>
      <w:r w:rsidR="00B10239" w:rsidRPr="00B10239">
        <w:rPr>
          <w:rFonts w:ascii="Calibri" w:hAnsi="Calibri" w:cs="Calibri"/>
        </w:rPr>
        <w:t>(Ansell &amp; Gash, 2008; Bryson et al., 2015)</w:t>
      </w:r>
      <w:r w:rsidRPr="00936A25">
        <w:rPr>
          <w:rFonts w:cstheme="minorHAnsi"/>
        </w:rPr>
        <w:fldChar w:fldCharType="end"/>
      </w:r>
    </w:p>
    <w:p w:rsidR="00936A25" w:rsidRPr="00936A25" w:rsidRDefault="00936A25" w:rsidP="00E84510">
      <w:pPr>
        <w:keepLines/>
        <w:rPr>
          <w:rFonts w:cstheme="minorHAnsi"/>
        </w:rPr>
      </w:pPr>
      <w:r w:rsidRPr="00936A25">
        <w:rPr>
          <w:rFonts w:cstheme="minorHAnsi"/>
        </w:rPr>
        <w:t>In addition, the role pla</w:t>
      </w:r>
      <w:r w:rsidR="003926DA">
        <w:rPr>
          <w:rFonts w:cstheme="minorHAnsi"/>
        </w:rPr>
        <w:t xml:space="preserve">yed by neutral leadership or </w:t>
      </w:r>
      <w:r w:rsidRPr="00936A25">
        <w:rPr>
          <w:rFonts w:cstheme="minorHAnsi"/>
        </w:rPr>
        <w:t>knowledge brokers is also considered a key component for facilitating collaborative engagement more broadly (Chrislip and Larson 1994; Ozawa 1993; Pine, Warsh, and Maluccio 1998; Reilly 2001; Susskind and Cruikshank 1987).</w:t>
      </w:r>
      <w:r w:rsidR="00150370">
        <w:rPr>
          <w:rFonts w:cstheme="minorHAnsi"/>
        </w:rPr>
        <w:t xml:space="preserve"> </w:t>
      </w:r>
      <w:r w:rsidRPr="00936A25">
        <w:rPr>
          <w:rFonts w:cstheme="minorHAnsi"/>
        </w:rPr>
        <w:t xml:space="preserve">They can provide assistance in setting and maintaining clear ground rules, building trust, facilitating dialogue, and exploring mutual gains </w:t>
      </w:r>
      <w:r w:rsidRPr="00936A25">
        <w:rPr>
          <w:rFonts w:cstheme="minorHAnsi"/>
        </w:rPr>
        <w:fldChar w:fldCharType="begin"/>
      </w:r>
      <w:r w:rsidR="00B10239">
        <w:rPr>
          <w:rFonts w:cstheme="minorHAnsi"/>
        </w:rPr>
        <w:instrText xml:space="preserve"> ADDIN ZOTERO_ITEM CSL_CITATION {"citationID":"5iiGyYMf","properties":{"formattedCitation":"(Ansell &amp; Gash, 2008, p. 554)","plainCitation":"(Ansell &amp; Gash, 2008, p. 554)","noteIndex":0},"citationItems":[{"id":8648,"uris":["http://zotero.org/users/11793275/items/X7JL5CAH"],"itemData":{"id":8648,"type":"article-journal","abstract":"Over the past few decades, a new form of governance has emerged to replace adversarial and managerial modes of policy making and implementation. Collaborative governance, as it has come to be known, brings public and private stakeholders together in collective forums with public agencies to engage in consensus-oriented decision making. In this article, we conduct a meta-analytical study of the existing literature on collaborative governance with the goal of elaborating a contingency model of collaborative governance. After reviewing 137 cases of collaborative governance across a range of policy sectors, we identify critical variables that will influence whether or not this mode of governance will produce successful collaboration. These variables include the prior history of conflict or cooperation, the incentives for stakeholders to participate, power and resources imbalances, leadership, and institutional design. We also identify a series of factors that are crucial within the collaborative process itself. These factors include face-to-face dialogue, trust building, and the development of commitment and shared understanding. We found that a virtuous cycle of collaboration tends to develop when collaborative forums focus on “small wins” that deepen trust, commitment, and shared understanding. The article concludes with a discussion of the implications of our contingency model for practitioners and for future research on collaborative governance.","container-title":"Journal of Public Administration Research and Theory","DOI":"10.1093/jopart/mum032","ISSN":"1053-1858","issue":"4","journalAbbreviation":"Journal of Public Administration Research and Theory","page":"543-571","source":"Silverchair","title":"Collaborative Governance in Theory and Practice","volume":"18","author":[{"family":"Ansell","given":"Chris"},{"family":"Gash","given":"Alison"}],"issued":{"date-parts":[["2008",10,1]]}},"locator":"554","label":"page"}],"schema":"https://github.com/citation-style-language/schema/raw/master/csl-citation.json"} </w:instrText>
      </w:r>
      <w:r w:rsidRPr="00936A25">
        <w:rPr>
          <w:rFonts w:cstheme="minorHAnsi"/>
        </w:rPr>
        <w:fldChar w:fldCharType="separate"/>
      </w:r>
      <w:r w:rsidR="00B10239" w:rsidRPr="00B10239">
        <w:rPr>
          <w:rFonts w:ascii="Calibri" w:hAnsi="Calibri" w:cs="Calibri"/>
        </w:rPr>
        <w:t>(Ansell &amp; Gash, 2008, p. 554)</w:t>
      </w:r>
      <w:r w:rsidRPr="00936A25">
        <w:rPr>
          <w:rFonts w:cstheme="minorHAnsi"/>
        </w:rPr>
        <w:fldChar w:fldCharType="end"/>
      </w:r>
      <w:r w:rsidRPr="00936A25">
        <w:rPr>
          <w:rFonts w:cstheme="minorHAnsi"/>
        </w:rPr>
        <w:t xml:space="preserve">. Leadership should also include </w:t>
      </w:r>
      <w:r w:rsidR="00150370" w:rsidRPr="00936A25">
        <w:rPr>
          <w:rFonts w:cstheme="minorHAnsi"/>
        </w:rPr>
        <w:t>direction</w:t>
      </w:r>
      <w:r w:rsidRPr="00936A25">
        <w:rPr>
          <w:rFonts w:cstheme="minorHAnsi"/>
        </w:rPr>
        <w:t xml:space="preserve"> over the ethical, emotional and experiential elements of a collaboration – although these foundational elements are often not discussed in detail (Sullivan et al., 2012). Navigating the values, meanings and beliefs that exist in a collaborative project will require taking the time to explore conflict and openly discuss how these differences play a role in shaping what ‘matters’ to each party. </w:t>
      </w:r>
    </w:p>
    <w:p w:rsidR="00936A25" w:rsidRPr="00936A25" w:rsidRDefault="00936A25" w:rsidP="00E84510">
      <w:pPr>
        <w:keepLines/>
        <w:rPr>
          <w:rFonts w:cstheme="minorHAnsi"/>
        </w:rPr>
      </w:pPr>
      <w:r w:rsidRPr="00936A25">
        <w:rPr>
          <w:rFonts w:cstheme="minorHAnsi"/>
        </w:rPr>
        <w:t>In addition to leadership, the question of ownership is also important. Ownership allows for clear lines of accountability. Defining who will do what and when</w:t>
      </w:r>
      <w:r w:rsidR="00150370">
        <w:rPr>
          <w:rFonts w:cstheme="minorHAnsi"/>
        </w:rPr>
        <w:t>,</w:t>
      </w:r>
      <w:r w:rsidRPr="00936A25">
        <w:rPr>
          <w:rFonts w:cstheme="minorHAnsi"/>
        </w:rPr>
        <w:t xml:space="preserve"> makes expectations clear and can be the basis for the development of greater trust and cooperation </w:t>
      </w:r>
      <w:r w:rsidRPr="00936A25">
        <w:rPr>
          <w:rFonts w:cstheme="minorHAnsi"/>
        </w:rPr>
        <w:fldChar w:fldCharType="begin"/>
      </w:r>
      <w:r w:rsidR="00B10239">
        <w:rPr>
          <w:rFonts w:cstheme="minorHAnsi"/>
        </w:rPr>
        <w:instrText xml:space="preserve"> ADDIN ZOTERO_ITEM CSL_CITATION {"citationID":"PU18w9rB","properties":{"formattedCitation":"(van der Arend, 2014)","plainCitation":"(van der Arend, 2014)","noteIndex":0},"citationItems":[{"id":3648,"uris":["http://zotero.org/users/11793275/items/SZN38WAG"],"itemData":{"id":3648,"type":"article-journal","abstract":"Evidence-based policy has become rhetoric for many western governments across a broad range of health and social policy areas. However, the transfer and uptake of academic research in policy contexts has often been problematic. Academics frequently argue that policy makers ignore the research they produce, while policy makers argue that academic research is seldom relevant to their needs. Research relationships and collaborations have long been regarded as key strategies to create pathways for research into policy contexts. They are also understood to better support the application of research in understanding policy issues, and in designing and implementing policy initiatives. This paper reports on findings from a large scale project, which targeted public servants undertaking policy work in Australian federal and state departments to investigate their experiences around the availability and use of academic social research. The paper explores the relevance of networks and linkages between academics and public servants in supporting research transfer and uptake. Reported barriers and facilitators to linkages are outlined. The paper concludes that a research-informed understanding of the factors and processes that promote and prevent effective linkages between academics and policy officials is needed to develop more realistic efforts to address the research/policy gap.","container-title":"Policy Studies","DOI":"10.1080/01442872.2014.971731","ISSN":"14701006","issue":"6","note":"publisher: Taylor &amp; Francis\nCitation Key: VanderArend2014","page":"611-630","title":"Bridging the research/policy gap: policy officials' perspectives on the barriers and facilitators to effective links between academic and policy worlds","volume":"35","author":[{"family":"Arend","given":"Jenny","non-dropping-particle":"van der"}],"issued":{"date-parts":[["2014"]]}}}],"schema":"https://github.com/citation-style-language/schema/raw/master/csl-citation.json"} </w:instrText>
      </w:r>
      <w:r w:rsidRPr="00936A25">
        <w:rPr>
          <w:rFonts w:cstheme="minorHAnsi"/>
        </w:rPr>
        <w:fldChar w:fldCharType="separate"/>
      </w:r>
      <w:r w:rsidR="00B10239" w:rsidRPr="00B10239">
        <w:rPr>
          <w:rFonts w:ascii="Calibri" w:hAnsi="Calibri" w:cs="Calibri"/>
        </w:rPr>
        <w:t>(van der Arend, 2014)</w:t>
      </w:r>
      <w:r w:rsidRPr="00936A25">
        <w:rPr>
          <w:rFonts w:cstheme="minorHAnsi"/>
        </w:rPr>
        <w:fldChar w:fldCharType="end"/>
      </w:r>
      <w:r w:rsidR="00150370">
        <w:rPr>
          <w:rFonts w:cstheme="minorHAnsi"/>
        </w:rPr>
        <w:t xml:space="preserve">. Ownership </w:t>
      </w:r>
      <w:r w:rsidRPr="00936A25">
        <w:rPr>
          <w:rFonts w:cstheme="minorHAnsi"/>
        </w:rPr>
        <w:t xml:space="preserve">could be supported by </w:t>
      </w:r>
      <w:r w:rsidR="00986EBE">
        <w:rPr>
          <w:rFonts w:cstheme="minorHAnsi"/>
        </w:rPr>
        <w:t xml:space="preserve">a </w:t>
      </w:r>
      <w:r w:rsidRPr="00936A25">
        <w:rPr>
          <w:rFonts w:cstheme="minorHAnsi"/>
        </w:rPr>
        <w:t xml:space="preserve">Charter of Partnerships </w:t>
      </w:r>
      <w:r w:rsidR="00986EBE">
        <w:rPr>
          <w:rFonts w:cstheme="minorHAnsi"/>
        </w:rPr>
        <w:t>similar to what was</w:t>
      </w:r>
      <w:r w:rsidRPr="00936A25">
        <w:rPr>
          <w:rFonts w:cstheme="minorHAnsi"/>
        </w:rPr>
        <w:t xml:space="preserve"> recommended in the </w:t>
      </w:r>
      <w:r w:rsidRPr="00936A25">
        <w:rPr>
          <w:rFonts w:cstheme="minorHAnsi"/>
          <w:i/>
          <w:iCs/>
        </w:rPr>
        <w:t>Independent Review of the APS</w:t>
      </w:r>
      <w:r w:rsidRPr="00936A25">
        <w:rPr>
          <w:rFonts w:cstheme="minorHAnsi"/>
        </w:rPr>
        <w:t>.  The Charter of Partnerships</w:t>
      </w:r>
      <w:r w:rsidR="00986EBE">
        <w:rPr>
          <w:rFonts w:cstheme="minorHAnsi"/>
        </w:rPr>
        <w:t xml:space="preserve"> could</w:t>
      </w:r>
      <w:r w:rsidRPr="00936A25">
        <w:rPr>
          <w:rFonts w:cstheme="minorHAnsi"/>
        </w:rPr>
        <w:t xml:space="preserve"> encourage the establishment of </w:t>
      </w:r>
    </w:p>
    <w:p w:rsidR="00936A25" w:rsidRPr="00936A25" w:rsidRDefault="00936A25" w:rsidP="00E84510">
      <w:pPr>
        <w:keepLines/>
        <w:ind w:left="720"/>
        <w:rPr>
          <w:rFonts w:cstheme="minorHAnsi"/>
        </w:rPr>
      </w:pPr>
      <w:r w:rsidRPr="00936A25">
        <w:rPr>
          <w:rFonts w:cstheme="minorHAnsi"/>
        </w:rPr>
        <w:t>clear expectations — for government, the APS and the community — on how the APS will work with its external partners. Premised on the understanding that current engagement is insufficient, the Charter will be a public commitment to work openly and respectfully, to be willing to learn and listen, to inform and be informed. It will set expectations of being a good partner with the APS, as this relationship cannot just be a one-way street. (p119)</w:t>
      </w:r>
    </w:p>
    <w:p w:rsidR="00936A25" w:rsidRPr="00936A25" w:rsidRDefault="00936A25" w:rsidP="00E84510">
      <w:pPr>
        <w:keepLines/>
        <w:rPr>
          <w:rFonts w:cstheme="minorHAnsi"/>
        </w:rPr>
      </w:pPr>
      <w:r w:rsidRPr="00936A25">
        <w:rPr>
          <w:rFonts w:cstheme="minorHAnsi"/>
        </w:rPr>
        <w:t xml:space="preserve">The literature also suggests that clear ground rules and process transparency are important design features </w:t>
      </w:r>
      <w:r w:rsidRPr="00936A25">
        <w:rPr>
          <w:rFonts w:cstheme="minorHAnsi"/>
        </w:rPr>
        <w:fldChar w:fldCharType="begin"/>
      </w:r>
      <w:r w:rsidR="00B10239">
        <w:rPr>
          <w:rFonts w:cstheme="minorHAnsi"/>
        </w:rPr>
        <w:instrText xml:space="preserve"> ADDIN ZOTERO_ITEM CSL_CITATION {"citationID":"4V4hMuYF","properties":{"formattedCitation":"(Ansell &amp; Gash, 2008, p. 556)","plainCitation":"(Ansell &amp; Gash, 2008, p. 556)","noteIndex":0},"citationItems":[{"id":8648,"uris":["http://zotero.org/users/11793275/items/X7JL5CAH"],"itemData":{"id":8648,"type":"article-journal","abstract":"Over the past few decades, a new form of governance has emerged to replace adversarial and managerial modes of policy making and implementation. Collaborative governance, as it has come to be known, brings public and private stakeholders together in collective forums with public agencies to engage in consensus-oriented decision making. In this article, we conduct a meta-analytical study of the existing literature on collaborative governance with the goal of elaborating a contingency model of collaborative governance. After reviewing 137 cases of collaborative governance across a range of policy sectors, we identify critical variables that will influence whether or not this mode of governance will produce successful collaboration. These variables include the prior history of conflict or cooperation, the incentives for stakeholders to participate, power and resources imbalances, leadership, and institutional design. We also identify a series of factors that are crucial within the collaborative process itself. These factors include face-to-face dialogue, trust building, and the development of commitment and shared understanding. We found that a virtuous cycle of collaboration tends to develop when collaborative forums focus on “small wins” that deepen trust, commitment, and shared understanding. The article concludes with a discussion of the implications of our contingency model for practitioners and for future research on collaborative governance.","container-title":"Journal of Public Administration Research and Theory","DOI":"10.1093/jopart/mum032","ISSN":"1053-1858","issue":"4","journalAbbreviation":"Journal of Public Administration Research and Theory","page":"543-571","source":"Silverchair","title":"Collaborative Governance in Theory and Practice","volume":"18","author":[{"family":"Ansell","given":"Chris"},{"family":"Gash","given":"Alison"}],"issued":{"date-parts":[["2008",10,1]]}},"locator":"556","label":"page"}],"schema":"https://github.com/citation-style-language/schema/raw/master/csl-citation.json"} </w:instrText>
      </w:r>
      <w:r w:rsidRPr="00936A25">
        <w:rPr>
          <w:rFonts w:cstheme="minorHAnsi"/>
        </w:rPr>
        <w:fldChar w:fldCharType="separate"/>
      </w:r>
      <w:r w:rsidR="00B10239" w:rsidRPr="00B10239">
        <w:rPr>
          <w:rFonts w:ascii="Calibri" w:hAnsi="Calibri" w:cs="Calibri"/>
        </w:rPr>
        <w:t>(Ansell &amp; Gash, 2008, p. 556)</w:t>
      </w:r>
      <w:r w:rsidRPr="00936A25">
        <w:rPr>
          <w:rFonts w:cstheme="minorHAnsi"/>
        </w:rPr>
        <w:fldChar w:fldCharType="end"/>
      </w:r>
      <w:r w:rsidRPr="00936A25">
        <w:rPr>
          <w:rFonts w:cstheme="minorHAnsi"/>
        </w:rPr>
        <w:t xml:space="preserve">. Process transparency means that stakeholders can feel confident that the public negotiation is ‘‘real’’ and that the collaborative process is not a cover for bargaining done behind closed doors </w:t>
      </w:r>
      <w:r w:rsidRPr="00936A25">
        <w:rPr>
          <w:rFonts w:cstheme="minorHAnsi"/>
        </w:rPr>
        <w:fldChar w:fldCharType="begin"/>
      </w:r>
      <w:r w:rsidR="00B10239">
        <w:rPr>
          <w:rFonts w:cstheme="minorHAnsi"/>
        </w:rPr>
        <w:instrText xml:space="preserve"> ADDIN ZOTERO_ITEM CSL_CITATION {"citationID":"52Oa0m2h","properties":{"formattedCitation":"(Dunlop &amp; Radaelli, 2016)","plainCitation":"(Dunlop &amp; Radaelli, 2016)","noteIndex":0},"citationItems":[{"id":8660,"uris":["http://zotero.org/users/11793275/items/MFVH9RXZ"],"itemData":{"id":8660,"type":"article-journal","abstract":"In response to the attacks on the sovereign debt of some Eurozone countries, European Union (EU) leaders have created a set of preventive and corrective policy instruments to coordinate macro-economic policies and reforms. In this article, we deal with the European Semester, a cycle of information exchange, monitoring and surveillance. Countries that deviate from the targets are subjected to increasing monitoring and more severe ‘corrective’ interventions, in a pyramid of responsive exchanges between governments and EU institutions. This is supposed to generate coordination and convergence towards balanced economies via mechanisms of learning. But who is learning what? Can the EU learn in the ‘wrong’ mode? We contribute to the literature on theories of the policy process by showing how modes of learning can be operationalized and used in empirical analysis. We use policy learning as theoretical framework to establish empirically the prevalent mode of learning and its implications for both the power of the Commission and the normative question of whether the EU is learning in the ‘correct’ mode.","container-title":"Policy Sciences","DOI":"10.1007/s11077-015-9236-7","ISSN":"1573-0891","issue":"2","journalAbbreviation":"Policy Sci","language":"en","page":"107-124","source":"Springer Link","title":"Policy learning in the Eurozone crisis: modes, power and functionality","title-short":"Policy learning in the Eurozone crisis","volume":"49","author":[{"family":"Dunlop","given":"Claire A."},{"family":"Radaelli","given":"Claudio M."}],"issued":{"date-parts":[["2016",6,1]]}}}],"schema":"https://github.com/citation-style-language/schema/raw/master/csl-citation.json"} </w:instrText>
      </w:r>
      <w:r w:rsidRPr="00936A25">
        <w:rPr>
          <w:rFonts w:cstheme="minorHAnsi"/>
        </w:rPr>
        <w:fldChar w:fldCharType="separate"/>
      </w:r>
      <w:r w:rsidR="00B10239" w:rsidRPr="00B10239">
        <w:rPr>
          <w:rFonts w:ascii="Calibri" w:hAnsi="Calibri" w:cs="Calibri"/>
        </w:rPr>
        <w:t>(Dunlop &amp; Radaelli, 2016)</w:t>
      </w:r>
      <w:r w:rsidRPr="00936A25">
        <w:rPr>
          <w:rFonts w:cstheme="minorHAnsi"/>
        </w:rPr>
        <w:fldChar w:fldCharType="end"/>
      </w:r>
      <w:r w:rsidRPr="00936A25">
        <w:rPr>
          <w:rFonts w:cstheme="minorHAnsi"/>
        </w:rPr>
        <w:t xml:space="preserve">. Process transparency means having a clear line of sight between input and output. However, this also requires academic collaborators to be well informed about the nature of the policy process, and the circuitous and slow impact that new information and research can have </w:t>
      </w:r>
      <w:r w:rsidRPr="00936A25">
        <w:rPr>
          <w:rFonts w:cstheme="minorHAnsi"/>
        </w:rPr>
        <w:fldChar w:fldCharType="begin"/>
      </w:r>
      <w:r w:rsidR="00B10239">
        <w:rPr>
          <w:rFonts w:cstheme="minorHAnsi"/>
        </w:rPr>
        <w:instrText xml:space="preserve"> ADDIN ZOTERO_ITEM CSL_CITATION {"citationID":"rP5a46D8","properties":{"formattedCitation":"(Weiss, 1986)","plainCitation":"(Weiss, 1986)","noteIndex":0},"citationItems":[{"id":916,"uris":["http://zotero.org/users/11793275/items/AGR3TE58"],"itemData":{"id":916,"type":"chapter","container-title":"Social Science &amp; Social Policy","event-place":"London","note":"Citation Key: Weiss1986","publisher":"Allen &amp; Unwin","publisher-place":"London","title":"The many meanings of research utilisation","author":[{"family":"Weiss","given":"Carol H"}],"editor":[{"family":"Bulmer","given":"M"}],"issued":{"date-parts":[["1986"]]}}}],"schema":"https://github.com/citation-style-language/schema/raw/master/csl-citation.json"} </w:instrText>
      </w:r>
      <w:r w:rsidRPr="00936A25">
        <w:rPr>
          <w:rFonts w:cstheme="minorHAnsi"/>
        </w:rPr>
        <w:fldChar w:fldCharType="separate"/>
      </w:r>
      <w:r w:rsidR="00B10239" w:rsidRPr="00B10239">
        <w:rPr>
          <w:rFonts w:ascii="Calibri" w:hAnsi="Calibri" w:cs="Calibri"/>
        </w:rPr>
        <w:t>(Weiss, 1986)</w:t>
      </w:r>
      <w:r w:rsidRPr="00936A25">
        <w:rPr>
          <w:rFonts w:cstheme="minorHAnsi"/>
        </w:rPr>
        <w:fldChar w:fldCharType="end"/>
      </w:r>
      <w:r w:rsidRPr="00936A25">
        <w:rPr>
          <w:rFonts w:cstheme="minorHAnsi"/>
        </w:rPr>
        <w:t xml:space="preserve">. </w:t>
      </w:r>
    </w:p>
    <w:p w:rsidR="00936A25" w:rsidRPr="00936A25" w:rsidRDefault="00936A25" w:rsidP="00E84510">
      <w:pPr>
        <w:keepLines/>
        <w:rPr>
          <w:rFonts w:cstheme="minorHAnsi"/>
        </w:rPr>
      </w:pPr>
      <w:r w:rsidRPr="00936A25">
        <w:rPr>
          <w:rFonts w:cstheme="minorHAnsi"/>
        </w:rPr>
        <w:t>Process transparency, the role of leadership and accountability, all highlight the important role played by trust in collaboration –particularly when past relationships have been antagonistic or fractious. If trust doesn’t exist already, it will need to be built</w:t>
      </w:r>
      <w:r w:rsidRPr="00936A25">
        <w:rPr>
          <w:rFonts w:cstheme="minorHAnsi"/>
        </w:rPr>
        <w:fldChar w:fldCharType="begin"/>
      </w:r>
      <w:r w:rsidR="00B10239">
        <w:rPr>
          <w:rFonts w:cstheme="minorHAnsi"/>
        </w:rPr>
        <w:instrText xml:space="preserve"> ADDIN ZOTERO_ITEM CSL_CITATION {"citationID":"hNGt74Rm","properties":{"formattedCitation":"(van der Arend, 2014)","plainCitation":"(van der Arend, 2014)","noteIndex":0},"citationItems":[{"id":3648,"uris":["http://zotero.org/users/11793275/items/SZN38WAG"],"itemData":{"id":3648,"type":"article-journal","abstract":"Evidence-based policy has become rhetoric for many western governments across a broad range of health and social policy areas. However, the transfer and uptake of academic research in policy contexts has often been problematic. Academics frequently argue that policy makers ignore the research they produce, while policy makers argue that academic research is seldom relevant to their needs. Research relationships and collaborations have long been regarded as key strategies to create pathways for research into policy contexts. They are also understood to better support the application of research in understanding policy issues, and in designing and implementing policy initiatives. This paper reports on findings from a large scale project, which targeted public servants undertaking policy work in Australian federal and state departments to investigate their experiences around the availability and use of academic social research. The paper explores the relevance of networks and linkages between academics and public servants in supporting research transfer and uptake. Reported barriers and facilitators to linkages are outlined. The paper concludes that a research-informed understanding of the factors and processes that promote and prevent effective linkages between academics and policy officials is needed to develop more realistic efforts to address the research/policy gap.","container-title":"Policy Studies","DOI":"10.1080/01442872.2014.971731","ISSN":"14701006","issue":"6","note":"publisher: Taylor &amp; Francis\nCitation Key: VanderArend2014","page":"611-630","title":"Bridging the research/policy gap: policy officials' perspectives on the barriers and facilitators to effective links between academic and policy worlds","volume":"35","author":[{"family":"Arend","given":"Jenny","non-dropping-particle":"van der"}],"issued":{"date-parts":[["2014"]]}}}],"schema":"https://github.com/citation-style-language/schema/raw/master/csl-citation.json"} </w:instrText>
      </w:r>
      <w:r w:rsidRPr="00936A25">
        <w:rPr>
          <w:rFonts w:cstheme="minorHAnsi"/>
        </w:rPr>
        <w:fldChar w:fldCharType="separate"/>
      </w:r>
      <w:r w:rsidR="00B10239" w:rsidRPr="00B10239">
        <w:rPr>
          <w:rFonts w:ascii="Calibri" w:hAnsi="Calibri" w:cs="Calibri"/>
        </w:rPr>
        <w:t>(van der Arend, 2014)</w:t>
      </w:r>
      <w:r w:rsidRPr="00936A25">
        <w:rPr>
          <w:rFonts w:cstheme="minorHAnsi"/>
        </w:rPr>
        <w:fldChar w:fldCharType="end"/>
      </w:r>
      <w:r w:rsidRPr="00936A25">
        <w:rPr>
          <w:rFonts w:cstheme="minorHAnsi"/>
        </w:rPr>
        <w:t xml:space="preserve">. </w:t>
      </w:r>
      <w:r w:rsidR="00150370">
        <w:rPr>
          <w:rFonts w:cstheme="minorHAnsi"/>
        </w:rPr>
        <w:t>It is critical that p</w:t>
      </w:r>
      <w:r w:rsidRPr="00936A25">
        <w:rPr>
          <w:rFonts w:cstheme="minorHAnsi"/>
        </w:rPr>
        <w:t xml:space="preserve">ower imbalances, language barriers and different institutional expectations </w:t>
      </w:r>
      <w:r w:rsidR="00150370">
        <w:rPr>
          <w:rFonts w:cstheme="minorHAnsi"/>
        </w:rPr>
        <w:t xml:space="preserve">are addressed outright in </w:t>
      </w:r>
      <w:r w:rsidRPr="00936A25">
        <w:rPr>
          <w:rFonts w:cstheme="minorHAnsi"/>
        </w:rPr>
        <w:t xml:space="preserve">discussions. </w:t>
      </w:r>
    </w:p>
    <w:p w:rsidR="00936A25" w:rsidRPr="00891E57" w:rsidRDefault="00936A25" w:rsidP="00E84510">
      <w:pPr>
        <w:keepLines/>
        <w:rPr>
          <w:rFonts w:cstheme="minorHAnsi"/>
        </w:rPr>
      </w:pPr>
      <w:r w:rsidRPr="00936A25">
        <w:rPr>
          <w:rFonts w:cstheme="minorHAnsi"/>
        </w:rPr>
        <w:t>Finally, openly acknowledging and finding ways to work with the institutional and structural expectations of bot</w:t>
      </w:r>
      <w:r w:rsidR="00994243">
        <w:rPr>
          <w:rFonts w:cstheme="minorHAnsi"/>
        </w:rPr>
        <w:t>h parties is important. This</w:t>
      </w:r>
      <w:r w:rsidRPr="00936A25">
        <w:rPr>
          <w:rFonts w:cstheme="minorHAnsi"/>
        </w:rPr>
        <w:t xml:space="preserve"> include</w:t>
      </w:r>
      <w:r w:rsidR="00994243">
        <w:rPr>
          <w:rFonts w:cstheme="minorHAnsi"/>
        </w:rPr>
        <w:t>s</w:t>
      </w:r>
      <w:r w:rsidRPr="00936A25">
        <w:rPr>
          <w:rFonts w:cstheme="minorHAnsi"/>
        </w:rPr>
        <w:t xml:space="preserve"> the frameworks, norms and rules that exist and cannot be assumed to be well understood. For the public sector, </w:t>
      </w:r>
      <w:r w:rsidR="004E617C">
        <w:rPr>
          <w:rFonts w:cstheme="minorHAnsi"/>
        </w:rPr>
        <w:t xml:space="preserve">changes in government direction and </w:t>
      </w:r>
      <w:r w:rsidRPr="00936A25">
        <w:rPr>
          <w:rFonts w:cstheme="minorHAnsi"/>
        </w:rPr>
        <w:t>interest, resourcing, framing of language and timeframes for c</w:t>
      </w:r>
      <w:r w:rsidR="004E617C">
        <w:rPr>
          <w:rFonts w:cstheme="minorHAnsi"/>
        </w:rPr>
        <w:t>learance and critical dates such as Senate Estimates and</w:t>
      </w:r>
      <w:r w:rsidRPr="00936A25">
        <w:rPr>
          <w:rFonts w:cstheme="minorHAnsi"/>
        </w:rPr>
        <w:t xml:space="preserve"> Budget are all critical but implicit institutional knowledge. For the research sector, publishing pressure, semester dates, grant applications and the expectation to ‘show your work’ in the form of extensive literature reviews (like this one!) are also key to institutional expectations, but also, not well understood outside of the academic sphere. The politics of both institutions, and </w:t>
      </w:r>
      <w:r w:rsidRPr="00891E57">
        <w:rPr>
          <w:rFonts w:cstheme="minorHAnsi"/>
        </w:rPr>
        <w:t>the norms and rules that exist, are equally important to th</w:t>
      </w:r>
      <w:r w:rsidR="004E617C" w:rsidRPr="00891E57">
        <w:rPr>
          <w:rFonts w:cstheme="minorHAnsi"/>
        </w:rPr>
        <w:t>e involved parties and ignoring</w:t>
      </w:r>
      <w:r w:rsidRPr="00891E57">
        <w:rPr>
          <w:rFonts w:cstheme="minorHAnsi"/>
        </w:rPr>
        <w:t xml:space="preserve"> them is an exercise in futility.</w:t>
      </w:r>
      <w:r w:rsidR="004E617C" w:rsidRPr="00891E57">
        <w:rPr>
          <w:rFonts w:cstheme="minorHAnsi"/>
        </w:rPr>
        <w:t xml:space="preserve"> Communicating these politics explicitly,</w:t>
      </w:r>
      <w:r w:rsidRPr="00891E57">
        <w:rPr>
          <w:rFonts w:cstheme="minorHAnsi"/>
        </w:rPr>
        <w:t xml:space="preserve"> clearly and transparently, can only improve collaboration. A prehistory of conflict is likely to express itself in low levels of trust, which in turn will produce low levels of commitment, strategies of manipulation, and dishonest communications” </w:t>
      </w:r>
      <w:r w:rsidRPr="00891E57">
        <w:rPr>
          <w:rFonts w:cstheme="minorHAnsi"/>
        </w:rPr>
        <w:fldChar w:fldCharType="begin"/>
      </w:r>
      <w:r w:rsidR="00B10239" w:rsidRPr="00891E57">
        <w:rPr>
          <w:rFonts w:cstheme="minorHAnsi"/>
        </w:rPr>
        <w:instrText xml:space="preserve"> ADDIN ZOTERO_ITEM CSL_CITATION {"citationID":"vvafezSA","properties":{"formattedCitation":"(Ansell &amp; Gash, 2008, p. 553)","plainCitation":"(Ansell &amp; Gash, 2008, p. 553)","noteIndex":0},"citationItems":[{"id":8648,"uris":["http://zotero.org/users/11793275/items/X7JL5CAH"],"itemData":{"id":8648,"type":"article-journal","abstract":"Over the past few decades, a new form of governance has emerged to replace adversarial and managerial modes of policy making and implementation. Collaborative governance, as it has come to be known, brings public and private stakeholders together in collective forums with public agencies to engage in consensus-oriented decision making. In this article, we conduct a meta-analytical study of the existing literature on collaborative governance with the goal of elaborating a contingency model of collaborative governance. After reviewing 137 cases of collaborative governance across a range of policy sectors, we identify critical variables that will influence whether or not this mode of governance will produce successful collaboration. These variables include the prior history of conflict or cooperation, the incentives for stakeholders to participate, power and resources imbalances, leadership, and institutional design. We also identify a series of factors that are crucial within the collaborative process itself. These factors include face-to-face dialogue, trust building, and the development of commitment and shared understanding. We found that a virtuous cycle of collaboration tends to develop when collaborative forums focus on “small wins” that deepen trust, commitment, and shared understanding. The article concludes with a discussion of the implications of our contingency model for practitioners and for future research on collaborative governance.","container-title":"Journal of Public Administration Research and Theory","DOI":"10.1093/jopart/mum032","ISSN":"1053-1858","issue":"4","journalAbbreviation":"Journal of Public Administration Research and Theory","page":"543-571","source":"Silverchair","title":"Collaborative Governance in Theory and Practice","volume":"18","author":[{"family":"Ansell","given":"Chris"},{"family":"Gash","given":"Alison"}],"issued":{"date-parts":[["2008",10,1]]}},"locator":"553","label":"page"}],"schema":"https://github.com/citation-style-language/schema/raw/master/csl-citation.json"} </w:instrText>
      </w:r>
      <w:r w:rsidRPr="00891E57">
        <w:rPr>
          <w:rFonts w:cstheme="minorHAnsi"/>
        </w:rPr>
        <w:fldChar w:fldCharType="separate"/>
      </w:r>
      <w:r w:rsidR="00B10239" w:rsidRPr="00891E57">
        <w:rPr>
          <w:rFonts w:ascii="Calibri" w:hAnsi="Calibri" w:cs="Calibri"/>
        </w:rPr>
        <w:t>(Ansell &amp; Gash, 2008, p. 553)</w:t>
      </w:r>
      <w:r w:rsidRPr="00891E57">
        <w:rPr>
          <w:rFonts w:cstheme="minorHAnsi"/>
        </w:rPr>
        <w:fldChar w:fldCharType="end"/>
      </w:r>
      <w:r w:rsidRPr="00891E57">
        <w:rPr>
          <w:rFonts w:cstheme="minorHAnsi"/>
        </w:rPr>
        <w:t>.</w:t>
      </w:r>
    </w:p>
    <w:p w:rsidR="00936A25" w:rsidRDefault="00936A25" w:rsidP="00E84510">
      <w:pPr>
        <w:keepLines/>
      </w:pPr>
      <w:r w:rsidRPr="00891E57">
        <w:rPr>
          <w:rFonts w:cstheme="minorHAnsi"/>
        </w:rPr>
        <w:t>These establishing practices all involve a meaningful commitment of time and resources. Ansell and Gash (2008) note that if partners “cannot justify the necessary time</w:t>
      </w:r>
      <w:r w:rsidRPr="00936A25">
        <w:rPr>
          <w:rFonts w:cstheme="minorHAnsi"/>
        </w:rPr>
        <w:t xml:space="preserve"> and cost, then they should not embark on a collaborative strategy” (p559). Arguably, it is better to consult or use internal research cap</w:t>
      </w:r>
      <w:r w:rsidR="004E617C">
        <w:rPr>
          <w:rFonts w:cstheme="minorHAnsi"/>
        </w:rPr>
        <w:t>acity than to</w:t>
      </w:r>
      <w:r w:rsidRPr="00936A25">
        <w:rPr>
          <w:rFonts w:cstheme="minorHAnsi"/>
        </w:rPr>
        <w:t xml:space="preserve"> undertake a collaboration without taking the time to establish the relationship</w:t>
      </w:r>
      <w:r>
        <w:t xml:space="preserve">. </w:t>
      </w:r>
    </w:p>
    <w:p w:rsidR="0083003A" w:rsidRDefault="0083003A" w:rsidP="00E84510"/>
    <w:p w:rsidR="00A42D84" w:rsidRPr="008C233A" w:rsidRDefault="0083003A" w:rsidP="00E84510">
      <w:pPr>
        <w:pStyle w:val="Heading2"/>
        <w:rPr>
          <w:rFonts w:asciiTheme="minorHAnsi" w:eastAsiaTheme="minorEastAsia" w:hAnsiTheme="minorHAnsi" w:cstheme="minorBidi"/>
          <w:szCs w:val="22"/>
        </w:rPr>
      </w:pPr>
      <w:bookmarkStart w:id="13" w:name="_Toc140834170"/>
      <w:r w:rsidRPr="008C233A">
        <w:rPr>
          <w:sz w:val="28"/>
        </w:rPr>
        <w:t>Delivery</w:t>
      </w:r>
      <w:bookmarkEnd w:id="13"/>
    </w:p>
    <w:p w:rsidR="00B2627D" w:rsidRPr="00891E57" w:rsidRDefault="00902B4A" w:rsidP="00E84510">
      <w:pPr>
        <w:rPr>
          <w:rFonts w:cstheme="minorHAnsi"/>
        </w:rPr>
      </w:pPr>
      <w:r>
        <w:rPr>
          <w:rFonts w:cstheme="minorHAnsi"/>
        </w:rPr>
        <w:t>M</w:t>
      </w:r>
      <w:r w:rsidR="00B2627D" w:rsidRPr="00B2627D">
        <w:rPr>
          <w:rFonts w:cstheme="minorHAnsi"/>
        </w:rPr>
        <w:t xml:space="preserve">uch has been </w:t>
      </w:r>
      <w:r w:rsidR="00B2627D" w:rsidRPr="00891E57">
        <w:rPr>
          <w:rFonts w:cstheme="minorHAnsi"/>
        </w:rPr>
        <w:t xml:space="preserve">written about collaborative governance and the ways to achieve more effective outcomes from these partnerships. These elements are sometimes referred to as antecedent conditions for collaborative governance. </w:t>
      </w:r>
      <w:r w:rsidR="00855E6A" w:rsidRPr="00891E57">
        <w:rPr>
          <w:rFonts w:cstheme="minorHAnsi"/>
        </w:rPr>
        <w:t xml:space="preserve">This section </w:t>
      </w:r>
      <w:r w:rsidR="00B2627D" w:rsidRPr="00891E57">
        <w:rPr>
          <w:rFonts w:cstheme="minorHAnsi"/>
        </w:rPr>
        <w:t>discuss</w:t>
      </w:r>
      <w:r w:rsidR="00855E6A" w:rsidRPr="00891E57">
        <w:rPr>
          <w:rFonts w:cstheme="minorHAnsi"/>
        </w:rPr>
        <w:t>es</w:t>
      </w:r>
      <w:r w:rsidR="00B2627D" w:rsidRPr="00891E57">
        <w:rPr>
          <w:rFonts w:cstheme="minorHAnsi"/>
        </w:rPr>
        <w:t xml:space="preserve"> the elements of interest for the actual delivery of the project.</w:t>
      </w:r>
    </w:p>
    <w:p w:rsidR="00C226B2" w:rsidRDefault="00B2627D" w:rsidP="00E84510">
      <w:pPr>
        <w:rPr>
          <w:rFonts w:cstheme="minorHAnsi"/>
        </w:rPr>
      </w:pPr>
      <w:r w:rsidRPr="00891E57">
        <w:rPr>
          <w:rFonts w:cstheme="minorHAnsi"/>
        </w:rPr>
        <w:t xml:space="preserve">Collaborative governance is defined, at least in part, by principles of consensus-oriented decision making </w:t>
      </w:r>
      <w:r w:rsidRPr="00891E57">
        <w:rPr>
          <w:rFonts w:cstheme="minorHAnsi"/>
        </w:rPr>
        <w:fldChar w:fldCharType="begin"/>
      </w:r>
      <w:r w:rsidR="00B10239" w:rsidRPr="00891E57">
        <w:rPr>
          <w:rFonts w:cstheme="minorHAnsi"/>
        </w:rPr>
        <w:instrText xml:space="preserve"> ADDIN ZOTERO_ITEM CSL_CITATION {"citationID":"inmuhnNU","properties":{"formattedCitation":"(Ansell &amp; Gash, 2008)","plainCitation":"(Ansell &amp; Gash, 2008)","noteIndex":0},"citationItems":[{"id":8648,"uris":["http://zotero.org/users/11793275/items/X7JL5CAH"],"itemData":{"id":8648,"type":"article-journal","abstract":"Over the past few decades, a new form of governance has emerged to replace adversarial and managerial modes of policy making and implementation. Collaborative governance, as it has come to be known, brings public and private stakeholders together in collective forums with public agencies to engage in consensus-oriented decision making. In this article, we conduct a meta-analytical study of the existing literature on collaborative governance with the goal of elaborating a contingency model of collaborative governance. After reviewing 137 cases of collaborative governance across a range of policy sectors, we identify critical variables that will influence whether or not this mode of governance will produce successful collaboration. These variables include the prior history of conflict or cooperation, the incentives for stakeholders to participate, power and resources imbalances, leadership, and institutional design. We also identify a series of factors that are crucial within the collaborative process itself. These factors include face-to-face dialogue, trust building, and the development of commitment and shared understanding. We found that a virtuous cycle of collaboration tends to develop when collaborative forums focus on “small wins” that deepen trust, commitment, and shared understanding. The article concludes with a discussion of the implications of our contingency model for practitioners and for future research on collaborative governance.","container-title":"Journal of Public Administration Research and Theory","DOI":"10.1093/jopart/mum032","ISSN":"1053-1858","issue":"4","journalAbbreviation":"Journal of Public Administration Research and Theory","page":"543-571","source":"Silverchair","title":"Collaborative Governance in Theory and Practice","volume":"18","author":[{"family":"Ansell","given":"Chris"},{"family":"Gash","given":"Alison"}],"issued":{"date-parts":[["2008",10,1]]}}}],"schema":"https://github.com/citation-style-language/schema/raw/master/csl-citation.json"} </w:instrText>
      </w:r>
      <w:r w:rsidRPr="00891E57">
        <w:rPr>
          <w:rFonts w:cstheme="minorHAnsi"/>
        </w:rPr>
        <w:fldChar w:fldCharType="separate"/>
      </w:r>
      <w:r w:rsidR="00B10239" w:rsidRPr="00891E57">
        <w:rPr>
          <w:rFonts w:ascii="Calibri" w:hAnsi="Calibri" w:cs="Calibri"/>
        </w:rPr>
        <w:t>(Ansell &amp; Gash, 2008)</w:t>
      </w:r>
      <w:r w:rsidRPr="00891E57">
        <w:rPr>
          <w:rFonts w:cstheme="minorHAnsi"/>
        </w:rPr>
        <w:fldChar w:fldCharType="end"/>
      </w:r>
      <w:r w:rsidRPr="00891E57">
        <w:rPr>
          <w:rFonts w:cstheme="minorHAnsi"/>
        </w:rPr>
        <w:t>. This is an important consideration, as consensus is not necessarily a required component of an academic collaboration. However, the ideal of a collaborative relationship is one which goes beyond just consultat</w:t>
      </w:r>
      <w:r w:rsidR="00C226B2" w:rsidRPr="00891E57">
        <w:rPr>
          <w:rFonts w:cstheme="minorHAnsi"/>
        </w:rPr>
        <w:t>ion. The agency</w:t>
      </w:r>
      <w:r w:rsidRPr="00891E57">
        <w:rPr>
          <w:rFonts w:cstheme="minorHAnsi"/>
        </w:rPr>
        <w:t xml:space="preserve"> is ultimately held responsible for policy outcomes</w:t>
      </w:r>
      <w:r w:rsidR="00C226B2" w:rsidRPr="00891E57">
        <w:rPr>
          <w:rFonts w:cstheme="minorHAnsi"/>
        </w:rPr>
        <w:t xml:space="preserve"> in normal decision making</w:t>
      </w:r>
      <w:r w:rsidRPr="00891E57">
        <w:rPr>
          <w:rFonts w:cstheme="minorHAnsi"/>
        </w:rPr>
        <w:t>. Collaborative governance shifts ‘‘ownership’’ of decision making from the agency to the stakeholders acting collectively</w:t>
      </w:r>
      <w:r w:rsidRPr="00B2627D">
        <w:rPr>
          <w:rFonts w:cstheme="minorHAnsi"/>
        </w:rPr>
        <w:t xml:space="preserve">. This speaks </w:t>
      </w:r>
      <w:r w:rsidR="00C226B2">
        <w:rPr>
          <w:rFonts w:cstheme="minorHAnsi"/>
        </w:rPr>
        <w:t>to the interdependence</w:t>
      </w:r>
      <w:r w:rsidRPr="00B2627D">
        <w:rPr>
          <w:rFonts w:cstheme="minorHAnsi"/>
        </w:rPr>
        <w:t xml:space="preserve"> noted above under design. </w:t>
      </w:r>
    </w:p>
    <w:p w:rsidR="00B2627D" w:rsidRPr="00B2627D" w:rsidRDefault="00B2627D" w:rsidP="00E84510">
      <w:pPr>
        <w:rPr>
          <w:rFonts w:cstheme="minorHAnsi"/>
        </w:rPr>
      </w:pPr>
      <w:r w:rsidRPr="00B2627D">
        <w:rPr>
          <w:rFonts w:cstheme="minorHAnsi"/>
        </w:rPr>
        <w:t xml:space="preserve">The need to define the ultimate goal of a collaborative project involves having discussions </w:t>
      </w:r>
      <w:r w:rsidR="0038160C">
        <w:rPr>
          <w:rFonts w:cstheme="minorHAnsi"/>
        </w:rPr>
        <w:t>on the role of decision making.</w:t>
      </w:r>
      <w:r w:rsidRPr="00B2627D">
        <w:rPr>
          <w:rFonts w:cstheme="minorHAnsi"/>
        </w:rPr>
        <w:t xml:space="preserve"> A common frustration for academic partners is the feeling that their work ultimately fails to shape the polic</w:t>
      </w:r>
      <w:r w:rsidR="00C226B2">
        <w:rPr>
          <w:rFonts w:cstheme="minorHAnsi"/>
        </w:rPr>
        <w:t xml:space="preserve">y decisions made. Ensuring </w:t>
      </w:r>
      <w:r w:rsidRPr="00B2627D">
        <w:rPr>
          <w:rFonts w:cstheme="minorHAnsi"/>
        </w:rPr>
        <w:t>there is a clear understanding o</w:t>
      </w:r>
      <w:r w:rsidR="00C226B2">
        <w:rPr>
          <w:rFonts w:cstheme="minorHAnsi"/>
        </w:rPr>
        <w:t>f how the research will and will not</w:t>
      </w:r>
      <w:r w:rsidR="0038160C">
        <w:rPr>
          <w:rFonts w:cstheme="minorHAnsi"/>
        </w:rPr>
        <w:t xml:space="preserve"> be used, and</w:t>
      </w:r>
      <w:r w:rsidRPr="00B2627D">
        <w:rPr>
          <w:rFonts w:cstheme="minorHAnsi"/>
        </w:rPr>
        <w:t xml:space="preserve"> contingencies for when consensus is not able to be reached, </w:t>
      </w:r>
      <w:r w:rsidR="00C226B2">
        <w:rPr>
          <w:rFonts w:cstheme="minorHAnsi"/>
        </w:rPr>
        <w:t>are</w:t>
      </w:r>
      <w:r w:rsidR="0038160C">
        <w:rPr>
          <w:rFonts w:cstheme="minorHAnsi"/>
        </w:rPr>
        <w:t xml:space="preserve"> essential discussions</w:t>
      </w:r>
      <w:r w:rsidRPr="00B2627D">
        <w:rPr>
          <w:rFonts w:cstheme="minorHAnsi"/>
        </w:rPr>
        <w:t xml:space="preserve"> during the</w:t>
      </w:r>
      <w:r w:rsidR="0038160C">
        <w:rPr>
          <w:rFonts w:cstheme="minorHAnsi"/>
        </w:rPr>
        <w:t xml:space="preserve"> project design phase</w:t>
      </w:r>
      <w:r w:rsidRPr="00B2627D">
        <w:rPr>
          <w:rFonts w:cstheme="minorHAnsi"/>
        </w:rPr>
        <w:t xml:space="preserve">. </w:t>
      </w:r>
    </w:p>
    <w:p w:rsidR="00B2627D" w:rsidRPr="00B2627D" w:rsidRDefault="00B2627D" w:rsidP="00E84510">
      <w:pPr>
        <w:autoSpaceDE w:val="0"/>
        <w:autoSpaceDN w:val="0"/>
        <w:adjustRightInd w:val="0"/>
        <w:spacing w:after="0" w:line="240" w:lineRule="auto"/>
        <w:rPr>
          <w:rFonts w:cstheme="minorHAnsi"/>
        </w:rPr>
      </w:pPr>
      <w:r w:rsidRPr="00B2627D">
        <w:rPr>
          <w:rFonts w:cstheme="minorHAnsi"/>
        </w:rPr>
        <w:t>Two considerations from policy theory are</w:t>
      </w:r>
      <w:r w:rsidR="00902B4A">
        <w:rPr>
          <w:rFonts w:cstheme="minorHAnsi"/>
        </w:rPr>
        <w:t xml:space="preserve"> also</w:t>
      </w:r>
      <w:r w:rsidRPr="00B2627D">
        <w:rPr>
          <w:rFonts w:cstheme="minorHAnsi"/>
        </w:rPr>
        <w:t xml:space="preserve"> of interest here - policy learning and policy translation. They both capture a similar idea – that the instrumental, rational assumption of how knowledge travels in policy making is flawed. As Cairney (2020) states, we need to “reject the temptation to describe policy learning simplistically, with reference to a process that we might associate incorrectly with teachers transmitting facts to children. Nor should we assume that adults simply change their beliefs when faced with new evidence” (208). Rather, policy actors are more likely to generate learning through the process of engaging with new ideas, from diverse sources and forms of information. Knowledge is contextual and contingent and developed in negotiation with what is already ‘known’. The ability to see this negotiation, or translation, as a part of the process, rather than as a loss of fidelity of the research, will be important for academic partners in collaborative projects </w:t>
      </w:r>
      <w:r w:rsidRPr="00B2627D">
        <w:rPr>
          <w:rFonts w:cstheme="minorHAnsi"/>
        </w:rPr>
        <w:fldChar w:fldCharType="begin"/>
      </w:r>
      <w:r w:rsidR="00B10239">
        <w:rPr>
          <w:rFonts w:cstheme="minorHAnsi"/>
        </w:rPr>
        <w:instrText xml:space="preserve"> ADDIN ZOTERO_ITEM CSL_CITATION {"citationID":"KmRK6gXb","properties":{"formattedCitation":"(Mukhtarov &amp; Daniell, 2016; Stark, 2019)","plainCitation":"(Mukhtarov &amp; Daniell, 2016; Stark, 2019)","noteIndex":0},"citationItems":[{"id":3914,"uris":["http://zotero.org/users/11793275/items/YVWB7Z2A"],"itemData":{"id":3914,"type":"article-journal","DOI":"10.1093/oxfordhb/9780199335084.013.30","issue":"October 2017","note":"ISBN: 9780199335084","title":"Oxford Handbooks Online Transfer , Diffusion , Adaptation , and Translation of","author":[{"family":"Mukhtarov","given":"Farhad"},{"family":"Daniell","given":"Katherine"}],"issued":{"date-parts":[["2016"]]}}},{"id":8656,"uris":["http://zotero.org/users/11793275/items/HKE69KIW"],"itemData":{"id":8656,"type":"article-journal","abstract":"Can public inquiries learn lessons in ways which can reduce the likelihood of future failure? Political science research has consistently stated that the answer to this question should be an emphatic no and defined the public inquiry as an ineffectual lesson-learning mechanism. This article, however, contends that this conventional wisdom needs to be revisited. Drawing upon policy learning research for its theory, and 100 interviews across four international cases for its evidence, this article returns to the question above and finds that inquiries regularly produce ‘instrumental’ and ‘cognitive organisational’ forms of learning, which propel substantive reform agendas. By contrasting these outcomes against the types of learning that inquiries struggle to produce, the article delivers a nuanced evaluation that indicates that we need to reconsider what we think we know about these important institutions.","container-title":"Policy Sciences","DOI":"10.1007/s11077-019-09348-0","ISSN":"0032-2687, 1573-0891","issue":"3","journalAbbreviation":"Policy Sci","language":"en","page":"397-417","source":"DOI.org (Crossref)","title":"Policy learning and the public inquiry","volume":"52","author":[{"family":"Stark","given":"Alastair"}],"issued":{"date-parts":[["2019",9]]}}}],"schema":"https://github.com/citation-style-language/schema/raw/master/csl-citation.json"} </w:instrText>
      </w:r>
      <w:r w:rsidRPr="00B2627D">
        <w:rPr>
          <w:rFonts w:cstheme="minorHAnsi"/>
        </w:rPr>
        <w:fldChar w:fldCharType="separate"/>
      </w:r>
      <w:r w:rsidR="00B10239" w:rsidRPr="00B10239">
        <w:rPr>
          <w:rFonts w:ascii="Calibri" w:hAnsi="Calibri" w:cs="Calibri"/>
        </w:rPr>
        <w:t>(Mukhtarov &amp; Daniell, 2016; Stark, 2019)</w:t>
      </w:r>
      <w:r w:rsidRPr="00B2627D">
        <w:rPr>
          <w:rFonts w:cstheme="minorHAnsi"/>
        </w:rPr>
        <w:fldChar w:fldCharType="end"/>
      </w:r>
      <w:r w:rsidRPr="00B2627D">
        <w:rPr>
          <w:rFonts w:cstheme="minorHAnsi"/>
        </w:rPr>
        <w:t xml:space="preserve">. </w:t>
      </w:r>
    </w:p>
    <w:p w:rsidR="00B2627D" w:rsidRPr="00B2627D" w:rsidRDefault="00B2627D" w:rsidP="00E84510">
      <w:pPr>
        <w:autoSpaceDE w:val="0"/>
        <w:autoSpaceDN w:val="0"/>
        <w:adjustRightInd w:val="0"/>
        <w:spacing w:after="0" w:line="240" w:lineRule="auto"/>
        <w:rPr>
          <w:rFonts w:cstheme="minorHAnsi"/>
        </w:rPr>
      </w:pPr>
    </w:p>
    <w:p w:rsidR="00B2627D" w:rsidRPr="00B2627D" w:rsidRDefault="00B2627D" w:rsidP="00E84510">
      <w:pPr>
        <w:rPr>
          <w:rFonts w:cstheme="minorHAnsi"/>
        </w:rPr>
      </w:pPr>
      <w:r w:rsidRPr="00B2627D">
        <w:rPr>
          <w:rFonts w:cstheme="minorHAnsi"/>
        </w:rPr>
        <w:t>Some more concrete lessons from the literature include the importance of regular meetings, and establishing short-term goals (small wins)</w:t>
      </w:r>
      <w:r w:rsidR="0038160C">
        <w:rPr>
          <w:rFonts w:cstheme="minorHAnsi"/>
        </w:rPr>
        <w:t xml:space="preserve"> where parties can build trust and </w:t>
      </w:r>
      <w:r w:rsidRPr="00B2627D">
        <w:rPr>
          <w:rFonts w:cstheme="minorHAnsi"/>
        </w:rPr>
        <w:t xml:space="preserve">demonstrate competency </w:t>
      </w:r>
      <w:r w:rsidRPr="00B2627D">
        <w:rPr>
          <w:rFonts w:cstheme="minorHAnsi"/>
        </w:rPr>
        <w:fldChar w:fldCharType="begin"/>
      </w:r>
      <w:r w:rsidR="00B10239">
        <w:rPr>
          <w:rFonts w:cstheme="minorHAnsi"/>
        </w:rPr>
        <w:instrText xml:space="preserve"> ADDIN ZOTERO_ITEM CSL_CITATION {"citationID":"XVWt345z","properties":{"formattedCitation":"(Ansell &amp; Gash, 2008; Bryson et al., 2015; Weick, 1984)","plainCitation":"(Ansell &amp; Gash, 2008; Bryson et al., 2015; Weick, 1984)","noteIndex":0},"citationItems":[{"id":8648,"uris":["http://zotero.org/users/11793275/items/X7JL5CAH"],"itemData":{"id":8648,"type":"article-journal","abstract":"Over the past few decades, a new form of governance has emerged to replace adversarial and managerial modes of policy making and implementation. Collaborative governance, as it has come to be known, brings public and private stakeholders together in collective forums with public agencies to engage in consensus-oriented decision making. In this article, we conduct a meta-analytical study of the existing literature on collaborative governance with the goal of elaborating a contingency model of collaborative governance. After reviewing 137 cases of collaborative governance across a range of policy sectors, we identify critical variables that will influence whether or not this mode of governance will produce successful collaboration. These variables include the prior history of conflict or cooperation, the incentives for stakeholders to participate, power and resources imbalances, leadership, and institutional design. We also identify a series of factors that are crucial within the collaborative process itself. These factors include face-to-face dialogue, trust building, and the development of commitment and shared understanding. We found that a virtuous cycle of collaboration tends to develop when collaborative forums focus on “small wins” that deepen trust, commitment, and shared understanding. The article concludes with a discussion of the implications of our contingency model for practitioners and for future research on collaborative governance.","container-title":"Journal of Public Administration Research and Theory","DOI":"10.1093/jopart/mum032","ISSN":"1053-1858","issue":"4","journalAbbreviation":"Journal of Public Administration Research and Theory","page":"543-571","source":"Silverchair","title":"Collaborative Governance in Theory and Practice","volume":"18","author":[{"family":"Ansell","given":"Chris"},{"family":"Gash","given":"Alison"}],"issued":{"date-parts":[["2008",10,1]]}}},{"id":8642,"uris":["http://zotero.org/users/11793275/items/7AT56GZJ"],"itemData":{"id":8642,"type":"article-journal","abstract":"Theoretical and empirical work on collaboration has proliferated in the last decade. The authors’ 2006 article on designing and implementing cross-sector collaborations was a part of, and helped stimulate, this growth. This article reviews the authors’ and others’ important theoretical frameworks from the last decade, along with key empirical results. Research indicates how complicated and challenging collaboration can be, even though it may be needed now more than ever. The article concludes with a summary of areas in which scholarship offers reasonably settled conclusions and an extensive list of recommendations for future research. The authors favor research that takes a dynamic, multilevel systems view and makes use of both quantitative and qualitative methods, especially using longitudinal comparative case studies.","container-title":"Public Administration Review","DOI":"10.1111/puar.12432","ISSN":"1540-6210","issue":"5","language":"en","note":"_eprint: https://onlinelibrary.wiley.com/doi/pdf/10.1111/puar.12432","page":"647-663","source":"Wiley Online Library","title":"Designing and Implementing Cross-Sector Collaborations: Needed and Challenging","title-short":"Designing and Implementing Cross-Sector Collaborations","volume":"75","author":[{"family":"Bryson","given":"John M."},{"family":"Crosby","given":"Barbara C."},{"family":"Stone","given":"Melissa Middleton"}],"issued":{"date-parts":[["2015"]]}}},{"id":1850,"uris":["http://zotero.org/users/11793275/items/USIFU28U"],"itemData":{"id":1850,"type":"article-journal","container-title":"American Psychologist","issue":"1","note":"Citation Key: Weick1984\nISBN: 1935-990X","page":"40","title":"Small wins: redefining the scale of social problems","volume":"39","author":[{"family":"Weick","given":"Karl E"}],"issued":{"date-parts":[["1984"]]}}}],"schema":"https://github.com/citation-style-language/schema/raw/master/csl-citation.json"} </w:instrText>
      </w:r>
      <w:r w:rsidRPr="00B2627D">
        <w:rPr>
          <w:rFonts w:cstheme="minorHAnsi"/>
        </w:rPr>
        <w:fldChar w:fldCharType="separate"/>
      </w:r>
      <w:r w:rsidR="00B10239" w:rsidRPr="00B10239">
        <w:rPr>
          <w:rFonts w:ascii="Calibri" w:hAnsi="Calibri" w:cs="Calibri"/>
        </w:rPr>
        <w:t>(Ansell &amp; Gash, 2008; Bryson et al., 2015; Weick, 1984)</w:t>
      </w:r>
      <w:r w:rsidRPr="00B2627D">
        <w:rPr>
          <w:rFonts w:cstheme="minorHAnsi"/>
        </w:rPr>
        <w:fldChar w:fldCharType="end"/>
      </w:r>
      <w:r w:rsidRPr="00B2627D">
        <w:rPr>
          <w:rFonts w:cstheme="minorHAnsi"/>
        </w:rPr>
        <w:t xml:space="preserve">. </w:t>
      </w:r>
      <w:r w:rsidR="005E6FC7">
        <w:rPr>
          <w:rFonts w:cstheme="minorHAnsi"/>
        </w:rPr>
        <w:t>The short-term or i</w:t>
      </w:r>
      <w:r w:rsidRPr="00B2627D">
        <w:rPr>
          <w:rFonts w:cstheme="minorHAnsi"/>
        </w:rPr>
        <w:t xml:space="preserve">ntermediate outcomes </w:t>
      </w:r>
      <w:r w:rsidR="005E6FC7">
        <w:rPr>
          <w:rFonts w:cstheme="minorHAnsi"/>
        </w:rPr>
        <w:t xml:space="preserve">of these projects </w:t>
      </w:r>
      <w:r w:rsidRPr="00B2627D">
        <w:rPr>
          <w:rFonts w:cstheme="minorHAnsi"/>
        </w:rPr>
        <w:t xml:space="preserve">may represent tangible outputs in themselves, but they are also essential for building the momentum that can lead to successful collaboration </w:t>
      </w:r>
      <w:r w:rsidRPr="00B2627D">
        <w:rPr>
          <w:rFonts w:cstheme="minorHAnsi"/>
        </w:rPr>
        <w:fldChar w:fldCharType="begin"/>
      </w:r>
      <w:r w:rsidR="00B10239">
        <w:rPr>
          <w:rFonts w:cstheme="minorHAnsi"/>
        </w:rPr>
        <w:instrText xml:space="preserve"> ADDIN ZOTERO_ITEM CSL_CITATION {"citationID":"ByvKx7Wz","properties":{"formattedCitation":"(Ansell &amp; Gash, 2008)","plainCitation":"(Ansell &amp; Gash, 2008)","noteIndex":0},"citationItems":[{"id":8648,"uris":["http://zotero.org/users/11793275/items/X7JL5CAH"],"itemData":{"id":8648,"type":"article-journal","abstract":"Over the past few decades, a new form of governance has emerged to replace adversarial and managerial modes of policy making and implementation. Collaborative governance, as it has come to be known, brings public and private stakeholders together in collective forums with public agencies to engage in consensus-oriented decision making. In this article, we conduct a meta-analytical study of the existing literature on collaborative governance with the goal of elaborating a contingency model of collaborative governance. After reviewing 137 cases of collaborative governance across a range of policy sectors, we identify critical variables that will influence whether or not this mode of governance will produce successful collaboration. These variables include the prior history of conflict or cooperation, the incentives for stakeholders to participate, power and resources imbalances, leadership, and institutional design. We also identify a series of factors that are crucial within the collaborative process itself. These factors include face-to-face dialogue, trust building, and the development of commitment and shared understanding. We found that a virtuous cycle of collaboration tends to develop when collaborative forums focus on “small wins” that deepen trust, commitment, and shared understanding. The article concludes with a discussion of the implications of our contingency model for practitioners and for future research on collaborative governance.","container-title":"Journal of Public Administration Research and Theory","DOI":"10.1093/jopart/mum032","ISSN":"1053-1858","issue":"4","journalAbbreviation":"Journal of Public Administration Research and Theory","page":"543-571","source":"Silverchair","title":"Collaborative Governance in Theory and Practice","volume":"18","author":[{"family":"Ansell","given":"Chris"},{"family":"Gash","given":"Alison"}],"issued":{"date-parts":[["2008",10,1]]}}}],"schema":"https://github.com/citation-style-language/schema/raw/master/csl-citation.json"} </w:instrText>
      </w:r>
      <w:r w:rsidRPr="00B2627D">
        <w:rPr>
          <w:rFonts w:cstheme="minorHAnsi"/>
        </w:rPr>
        <w:fldChar w:fldCharType="separate"/>
      </w:r>
      <w:r w:rsidR="00B10239" w:rsidRPr="00B10239">
        <w:rPr>
          <w:rFonts w:ascii="Calibri" w:hAnsi="Calibri" w:cs="Calibri"/>
        </w:rPr>
        <w:t>(Ansell &amp; Gash, 2008)</w:t>
      </w:r>
      <w:r w:rsidRPr="00B2627D">
        <w:rPr>
          <w:rFonts w:cstheme="minorHAnsi"/>
        </w:rPr>
        <w:fldChar w:fldCharType="end"/>
      </w:r>
      <w:r w:rsidRPr="00B2627D">
        <w:rPr>
          <w:rFonts w:cstheme="minorHAnsi"/>
        </w:rPr>
        <w:t>.</w:t>
      </w:r>
      <w:r w:rsidR="005E6FC7">
        <w:rPr>
          <w:rFonts w:cstheme="minorHAnsi"/>
        </w:rPr>
        <w:t xml:space="preserve"> Despite this</w:t>
      </w:r>
      <w:r w:rsidRPr="00B2627D">
        <w:rPr>
          <w:rFonts w:cstheme="minorHAnsi"/>
        </w:rPr>
        <w:t>, these smaller scale outputs are not often well supported by the University sector and this is a challenge which will need to be addressed explicitly in many collaborative projects. As noted by Sasse &amp; Haddon (2019), “engaging with policy making is typically not a directly funded activity [for academics], which makes it hard for academics to buy themselves out of their other commitments” (16). This is an important consideration when defining the preferred short-term goals. Are there resources available within the Department to provide support with communications? It is also an important goal for the University sector to find ways to incentivise policy impact as an alternative to a more ‘typical’ path to promotion.</w:t>
      </w:r>
    </w:p>
    <w:p w:rsidR="00B2627D" w:rsidRDefault="00005CA8" w:rsidP="00E84510">
      <w:pPr>
        <w:rPr>
          <w:rFonts w:cstheme="minorHAnsi"/>
        </w:rPr>
      </w:pPr>
      <w:r>
        <w:rPr>
          <w:rFonts w:cstheme="minorHAnsi"/>
        </w:rPr>
        <w:t>Staff turnover in the public sector also impacts effective collaboration</w:t>
      </w:r>
      <w:r w:rsidR="00B2627D" w:rsidRPr="00B2627D">
        <w:rPr>
          <w:rFonts w:cstheme="minorHAnsi"/>
        </w:rPr>
        <w:t xml:space="preserve">. This is perhaps most clearly acknowledged in a report by the Government Office for Science on </w:t>
      </w:r>
      <w:r w:rsidR="00B2627D" w:rsidRPr="004A0DCA">
        <w:rPr>
          <w:rFonts w:cstheme="minorHAnsi"/>
          <w:i/>
          <w:iCs/>
        </w:rPr>
        <w:t>Engaging with academics</w:t>
      </w:r>
      <w:r w:rsidR="00B2627D" w:rsidRPr="00B2627D">
        <w:rPr>
          <w:rFonts w:cstheme="minorHAnsi"/>
        </w:rPr>
        <w:t xml:space="preserve">. </w:t>
      </w:r>
      <w:r>
        <w:rPr>
          <w:rFonts w:cstheme="minorHAnsi"/>
        </w:rPr>
        <w:t>The report</w:t>
      </w:r>
      <w:r w:rsidR="00B2627D" w:rsidRPr="00B2627D">
        <w:rPr>
          <w:rFonts w:cstheme="minorHAnsi"/>
        </w:rPr>
        <w:t xml:space="preserve"> state</w:t>
      </w:r>
      <w:r>
        <w:rPr>
          <w:rFonts w:cstheme="minorHAnsi"/>
        </w:rPr>
        <w:t>s</w:t>
      </w:r>
      <w:r w:rsidR="00B2627D" w:rsidRPr="00B2627D">
        <w:rPr>
          <w:rFonts w:cstheme="minorHAnsi"/>
        </w:rPr>
        <w:t xml:space="preserve"> that “a successful collaboration may be forgotten when the key contact moves on, leading to duplication of research effort and a lack of awareness as to what is going on in other teams” </w:t>
      </w:r>
      <w:r w:rsidR="00B2627D" w:rsidRPr="00B2627D">
        <w:rPr>
          <w:rFonts w:cstheme="minorHAnsi"/>
        </w:rPr>
        <w:fldChar w:fldCharType="begin"/>
      </w:r>
      <w:r w:rsidR="00B10239">
        <w:rPr>
          <w:rFonts w:cstheme="minorHAnsi"/>
        </w:rPr>
        <w:instrText xml:space="preserve"> ADDIN ZOTERO_ITEM CSL_CITATION {"citationID":"kvt1AqIw","properties":{"formattedCitation":"(2013, p. 25)","plainCitation":"(2013, p. 25)","noteIndex":0},"citationItems":[{"id":8589,"uris":["http://zotero.org/users/11793275/items/FA94TGXC"],"itemData":{"id":8589,"type":"report","language":"en","source":"Zotero","title":"Engaging with academics: how to further strengthen open policy making - a guide for policy makers","author":[{"family":"Government Office for Science","given":""}],"issued":{"date-parts":[["2013"]]}},"locator":"25","label":"page","suppress-author":true}],"schema":"https://github.com/citation-style-language/schema/raw/master/csl-citation.json"} </w:instrText>
      </w:r>
      <w:r w:rsidR="00B2627D" w:rsidRPr="00B2627D">
        <w:rPr>
          <w:rFonts w:cstheme="minorHAnsi"/>
        </w:rPr>
        <w:fldChar w:fldCharType="separate"/>
      </w:r>
      <w:r w:rsidR="00B10239" w:rsidRPr="00B10239">
        <w:rPr>
          <w:rFonts w:ascii="Calibri" w:hAnsi="Calibri" w:cs="Calibri"/>
        </w:rPr>
        <w:t>(2013, p. 25)</w:t>
      </w:r>
      <w:r w:rsidR="00B2627D" w:rsidRPr="00B2627D">
        <w:rPr>
          <w:rFonts w:cstheme="minorHAnsi"/>
        </w:rPr>
        <w:fldChar w:fldCharType="end"/>
      </w:r>
      <w:r w:rsidR="00B2627D" w:rsidRPr="00B2627D">
        <w:rPr>
          <w:rFonts w:cstheme="minorHAnsi"/>
        </w:rPr>
        <w:t xml:space="preserve">. To address this, they note that </w:t>
      </w:r>
      <w:r w:rsidR="004A0DCA" w:rsidRPr="00B2627D">
        <w:rPr>
          <w:rFonts w:cstheme="minorHAnsi"/>
        </w:rPr>
        <w:t>several</w:t>
      </w:r>
      <w:r w:rsidR="00B2627D" w:rsidRPr="00B2627D">
        <w:rPr>
          <w:rFonts w:cstheme="minorHAnsi"/>
        </w:rPr>
        <w:t xml:space="preserve"> departments have produced things such as “databases of stakeholders and academics and some have database of reports they have produced” (25). However, as is noted above </w:t>
      </w:r>
      <w:r w:rsidR="004A0DCA" w:rsidRPr="00B2627D">
        <w:rPr>
          <w:rFonts w:cstheme="minorHAnsi"/>
        </w:rPr>
        <w:t>regarding</w:t>
      </w:r>
      <w:r w:rsidR="00B2627D" w:rsidRPr="00B2627D">
        <w:rPr>
          <w:rFonts w:cstheme="minorHAnsi"/>
        </w:rPr>
        <w:t xml:space="preserve"> policy learning and translation, knowledge is often generated over time and through personal relationships and experience. Having the information available is not, on its own, enough. Knowledge management is only one step, albeit an important one.</w:t>
      </w:r>
    </w:p>
    <w:p w:rsidR="00BF78E0" w:rsidRPr="00B2627D" w:rsidRDefault="00BF78E0" w:rsidP="00E84510">
      <w:pPr>
        <w:rPr>
          <w:rFonts w:cstheme="minorHAnsi"/>
        </w:rPr>
      </w:pPr>
    </w:p>
    <w:p w:rsidR="0083003A" w:rsidRDefault="0083003A" w:rsidP="00E84510">
      <w:pPr>
        <w:pStyle w:val="Heading2"/>
      </w:pPr>
      <w:bookmarkStart w:id="14" w:name="_Toc140834171"/>
      <w:r w:rsidRPr="008C233A">
        <w:rPr>
          <w:sz w:val="28"/>
        </w:rPr>
        <w:t>Review</w:t>
      </w:r>
      <w:bookmarkEnd w:id="14"/>
    </w:p>
    <w:p w:rsidR="0047453C" w:rsidRPr="0047453C" w:rsidRDefault="0047453C" w:rsidP="00E84510">
      <w:pPr>
        <w:rPr>
          <w:rFonts w:cstheme="minorHAnsi"/>
        </w:rPr>
      </w:pPr>
      <w:r w:rsidRPr="0047453C">
        <w:rPr>
          <w:rFonts w:cstheme="minorHAnsi"/>
        </w:rPr>
        <w:t>There is little research done on t</w:t>
      </w:r>
      <w:r w:rsidR="00005CA8">
        <w:rPr>
          <w:rFonts w:cstheme="minorHAnsi"/>
        </w:rPr>
        <w:t xml:space="preserve">he actual </w:t>
      </w:r>
      <w:r w:rsidR="00005CA8" w:rsidRPr="008A24A5">
        <w:rPr>
          <w:rFonts w:cstheme="minorHAnsi"/>
          <w:i/>
          <w:iCs/>
        </w:rPr>
        <w:t>practices</w:t>
      </w:r>
      <w:r w:rsidR="00005CA8">
        <w:rPr>
          <w:rFonts w:cstheme="minorHAnsi"/>
        </w:rPr>
        <w:t xml:space="preserve"> of academic-</w:t>
      </w:r>
      <w:r w:rsidRPr="0047453C">
        <w:rPr>
          <w:rFonts w:cstheme="minorHAnsi"/>
        </w:rPr>
        <w:t xml:space="preserve">public sector collaboration and knowledge translation activities </w:t>
      </w:r>
      <w:r w:rsidRPr="0047453C">
        <w:rPr>
          <w:rFonts w:cstheme="minorHAnsi"/>
        </w:rPr>
        <w:fldChar w:fldCharType="begin"/>
      </w:r>
      <w:r w:rsidR="00B10239">
        <w:rPr>
          <w:rFonts w:cstheme="minorHAnsi"/>
        </w:rPr>
        <w:instrText xml:space="preserve"> ADDIN ZOTERO_ITEM CSL_CITATION {"citationID":"O8khReQr","properties":{"formattedCitation":"(Oliver, 2022)","plainCitation":"(Oliver, 2022)","noteIndex":0},"citationItems":[{"id":8595,"uris":["http://zotero.org/users/11793275/items/J7D3LTHB"],"itemData":{"id":8595,"type":"article-journal","container-title":"International Journal of Health Policy and Management","DOI":"10.34172/ijhpm.2022.6424","ISSN":"2322-5939","journalAbbreviation":"Int J Health Policy Manag","language":"en","page":"1","source":"DOI.org (Crossref)","title":"Why Is It So Hard to Evaluate Knowledge Exchange?; Comment on “Sustaining Knowledge Translation Practices: A Critical Interpretive Synthesis”","title-short":"Sustaining Knowledge Translation Practices","author":[{"family":"Oliver","given":"Kathryn"}],"issued":{"date-parts":[["2022",2,21]]}}}],"schema":"https://github.com/citation-style-language/schema/raw/master/csl-citation.json"} </w:instrText>
      </w:r>
      <w:r w:rsidRPr="0047453C">
        <w:rPr>
          <w:rFonts w:cstheme="minorHAnsi"/>
        </w:rPr>
        <w:fldChar w:fldCharType="separate"/>
      </w:r>
      <w:r w:rsidR="00B10239" w:rsidRPr="00B10239">
        <w:rPr>
          <w:rFonts w:ascii="Calibri" w:hAnsi="Calibri" w:cs="Calibri"/>
        </w:rPr>
        <w:t>(Oliver, 2022)</w:t>
      </w:r>
      <w:r w:rsidRPr="0047453C">
        <w:rPr>
          <w:rFonts w:cstheme="minorHAnsi"/>
        </w:rPr>
        <w:fldChar w:fldCharType="end"/>
      </w:r>
      <w:r w:rsidRPr="0047453C">
        <w:rPr>
          <w:rFonts w:cstheme="minorHAnsi"/>
        </w:rPr>
        <w:t>. To date, the focus is generally on the outcomes of the collaborative project itself</w:t>
      </w:r>
      <w:r w:rsidR="00153C26">
        <w:rPr>
          <w:rFonts w:cstheme="minorHAnsi"/>
        </w:rPr>
        <w:t>, the program</w:t>
      </w:r>
      <w:r w:rsidRPr="0047453C">
        <w:rPr>
          <w:rFonts w:cstheme="minorHAnsi"/>
        </w:rPr>
        <w:t xml:space="preserve">, rather than the </w:t>
      </w:r>
      <w:r w:rsidRPr="008A24A5">
        <w:rPr>
          <w:rFonts w:cstheme="minorHAnsi"/>
          <w:i/>
          <w:iCs/>
        </w:rPr>
        <w:t>process</w:t>
      </w:r>
      <w:r w:rsidRPr="0047453C">
        <w:rPr>
          <w:rFonts w:cstheme="minorHAnsi"/>
        </w:rPr>
        <w:t xml:space="preserve"> of collaborating. This is despite the fact that ‘process’ success </w:t>
      </w:r>
      <w:r w:rsidR="00005CA8">
        <w:rPr>
          <w:rFonts w:cstheme="minorHAnsi"/>
        </w:rPr>
        <w:t xml:space="preserve">is </w:t>
      </w:r>
      <w:r w:rsidRPr="0047453C">
        <w:rPr>
          <w:rFonts w:cstheme="minorHAnsi"/>
        </w:rPr>
        <w:t xml:space="preserve">an important element in the success framework </w:t>
      </w:r>
      <w:r w:rsidRPr="0047453C">
        <w:rPr>
          <w:rFonts w:cstheme="minorHAnsi"/>
        </w:rPr>
        <w:fldChar w:fldCharType="begin"/>
      </w:r>
      <w:r w:rsidR="00B10239">
        <w:rPr>
          <w:rFonts w:cstheme="minorHAnsi"/>
        </w:rPr>
        <w:instrText xml:space="preserve"> ADDIN ZOTERO_ITEM CSL_CITATION {"citationID":"SGXGaOnP","properties":{"formattedCitation":"(Bovens et al., 2002; McConnell, 2010)","plainCitation":"(Bovens et al., 2002; McConnell, 2010)","noteIndex":0},"citationItems":[{"id":2877,"uris":["http://zotero.org/users/11793275/items/N945ZRTM"],"itemData":{"id":2877,"type":"book","event-place":"Cheltenham, UK","ISBN":"1-84376-285-4","note":"Citation Key: Bovens2002a","publisher":"Edward Elgar Publishing","publisher-place":"Cheltenham, UK","title":"Success and failure in public governance: A comparative analysis","author":[{"family":"Bovens","given":"Mark"},{"family":"T'Hart","given":"Paul"},{"family":"Peters","given":"B Guy"}],"issued":{"date-parts":[["2002"]]}}},{"id":1720,"uris":["http://zotero.org/users/11793275/items/NN3V52HD"],"itemData":{"id":1720,"type":"book","ISBN":"1-137-08228-3","note":"Citation Key: McConnell2010","publisher":"Palgrave Macmillan","title":"Understanding policy success: Rethinking public policy","author":[{"family":"McConnell","given":"Allan"}],"issued":{"date-parts":[["2010"]]}}}],"schema":"https://github.com/citation-style-language/schema/raw/master/csl-citation.json"} </w:instrText>
      </w:r>
      <w:r w:rsidRPr="0047453C">
        <w:rPr>
          <w:rFonts w:cstheme="minorHAnsi"/>
        </w:rPr>
        <w:fldChar w:fldCharType="separate"/>
      </w:r>
      <w:r w:rsidR="00B10239" w:rsidRPr="00B10239">
        <w:rPr>
          <w:rFonts w:ascii="Calibri" w:hAnsi="Calibri" w:cs="Calibri"/>
        </w:rPr>
        <w:t>(Bovens et al., 2002; McConnell, 2010)</w:t>
      </w:r>
      <w:r w:rsidRPr="0047453C">
        <w:rPr>
          <w:rFonts w:cstheme="minorHAnsi"/>
        </w:rPr>
        <w:fldChar w:fldCharType="end"/>
      </w:r>
      <w:r w:rsidRPr="0047453C">
        <w:rPr>
          <w:rFonts w:cstheme="minorHAnsi"/>
        </w:rPr>
        <w:t xml:space="preserve">. </w:t>
      </w:r>
    </w:p>
    <w:p w:rsidR="0047453C" w:rsidRPr="0047453C" w:rsidRDefault="0047453C" w:rsidP="00E84510">
      <w:pPr>
        <w:rPr>
          <w:rFonts w:cstheme="minorHAnsi"/>
        </w:rPr>
      </w:pPr>
      <w:r w:rsidRPr="0047453C">
        <w:rPr>
          <w:rFonts w:cstheme="minorHAnsi"/>
        </w:rPr>
        <w:t xml:space="preserve">It is also generally agreed that evaluative assessments should consider </w:t>
      </w:r>
      <w:r w:rsidR="003A782D">
        <w:rPr>
          <w:rFonts w:cstheme="minorHAnsi"/>
        </w:rPr>
        <w:t xml:space="preserve">exploring the </w:t>
      </w:r>
      <w:r w:rsidRPr="0047453C">
        <w:rPr>
          <w:rFonts w:cstheme="minorHAnsi"/>
        </w:rPr>
        <w:t>process for individ</w:t>
      </w:r>
      <w:r w:rsidR="00005CA8">
        <w:rPr>
          <w:rFonts w:cstheme="minorHAnsi"/>
        </w:rPr>
        <w:t>ual participants, member organis</w:t>
      </w:r>
      <w:r w:rsidRPr="0047453C">
        <w:rPr>
          <w:rFonts w:cstheme="minorHAnsi"/>
        </w:rPr>
        <w:t>ations</w:t>
      </w:r>
      <w:r w:rsidR="00005CA8">
        <w:rPr>
          <w:rFonts w:cstheme="minorHAnsi"/>
        </w:rPr>
        <w:t xml:space="preserve">, the collaboration as a whole </w:t>
      </w:r>
      <w:r w:rsidRPr="0047453C">
        <w:rPr>
          <w:rFonts w:cstheme="minorHAnsi"/>
        </w:rPr>
        <w:t xml:space="preserve">and the community </w:t>
      </w:r>
      <w:r w:rsidRPr="0047453C">
        <w:rPr>
          <w:rFonts w:cstheme="minorHAnsi"/>
        </w:rPr>
        <w:fldChar w:fldCharType="begin"/>
      </w:r>
      <w:r w:rsidR="00B10239">
        <w:rPr>
          <w:rFonts w:cstheme="minorHAnsi"/>
        </w:rPr>
        <w:instrText xml:space="preserve"> ADDIN ZOTERO_ITEM CSL_CITATION {"citationID":"HpHTScAA","properties":{"formattedCitation":"(Bryson et al., 2015, p. 649)","plainCitation":"(Bryson et al., 2015, p. 649)","noteIndex":0},"citationItems":[{"id":8642,"uris":["http://zotero.org/users/11793275/items/7AT56GZJ"],"itemData":{"id":8642,"type":"article-journal","abstract":"Theoretical and empirical work on collaboration has proliferated in the last decade. The authors’ 2006 article on designing and implementing cross-sector collaborations was a part of, and helped stimulate, this growth. This article reviews the authors’ and others’ important theoretical frameworks from the last decade, along with key empirical results. Research indicates how complicated and challenging collaboration can be, even though it may be needed now more than ever. The article concludes with a summary of areas in which scholarship offers reasonably settled conclusions and an extensive list of recommendations for future research. The authors favor research that takes a dynamic, multilevel systems view and makes use of both quantitative and qualitative methods, especially using longitudinal comparative case studies.","container-title":"Public Administration Review","DOI":"10.1111/puar.12432","ISSN":"1540-6210","issue":"5","language":"en","note":"_eprint: https://onlinelibrary.wiley.com/doi/pdf/10.1111/puar.12432","page":"647-663","source":"Wiley Online Library","title":"Designing and Implementing Cross-Sector Collaborations: Needed and Challenging","title-short":"Designing and Implementing Cross-Sector Collaborations","volume":"75","author":[{"family":"Bryson","given":"John M."},{"family":"Crosby","given":"Barbara C."},{"family":"Stone","given":"Melissa Middleton"}],"issued":{"date-parts":[["2015"]]}},"locator":"649","label":"page"}],"schema":"https://github.com/citation-style-language/schema/raw/master/csl-citation.json"} </w:instrText>
      </w:r>
      <w:r w:rsidRPr="0047453C">
        <w:rPr>
          <w:rFonts w:cstheme="minorHAnsi"/>
        </w:rPr>
        <w:fldChar w:fldCharType="separate"/>
      </w:r>
      <w:r w:rsidR="00B10239" w:rsidRPr="00B10239">
        <w:rPr>
          <w:rFonts w:ascii="Calibri" w:hAnsi="Calibri" w:cs="Calibri"/>
        </w:rPr>
        <w:t>(Bryson et al., 2015, p. 649)</w:t>
      </w:r>
      <w:r w:rsidRPr="0047453C">
        <w:rPr>
          <w:rFonts w:cstheme="minorHAnsi"/>
        </w:rPr>
        <w:fldChar w:fldCharType="end"/>
      </w:r>
      <w:r w:rsidRPr="0047453C">
        <w:rPr>
          <w:rFonts w:cstheme="minorHAnsi"/>
        </w:rPr>
        <w:t xml:space="preserve"> but it is generally only undertaken as a small part of a broader evaluation and is often not published more broadly. </w:t>
      </w:r>
    </w:p>
    <w:p w:rsidR="0047453C" w:rsidRPr="0047453C" w:rsidRDefault="0047453C" w:rsidP="008A24A5">
      <w:pPr>
        <w:rPr>
          <w:rFonts w:cstheme="minorHAnsi"/>
        </w:rPr>
      </w:pPr>
      <w:r w:rsidRPr="0047453C">
        <w:rPr>
          <w:rFonts w:cstheme="minorHAnsi"/>
        </w:rPr>
        <w:t xml:space="preserve">The resistance to undertaking </w:t>
      </w:r>
      <w:r w:rsidR="00005CA8">
        <w:rPr>
          <w:rFonts w:cstheme="minorHAnsi"/>
        </w:rPr>
        <w:t>this style of evaluation is</w:t>
      </w:r>
      <w:r w:rsidRPr="0047453C">
        <w:rPr>
          <w:rFonts w:cstheme="minorHAnsi"/>
        </w:rPr>
        <w:t xml:space="preserve"> highlighted in a report </w:t>
      </w:r>
      <w:r w:rsidR="00A863FC">
        <w:rPr>
          <w:rFonts w:cstheme="minorHAnsi"/>
        </w:rPr>
        <w:t>by Bray,</w:t>
      </w:r>
      <w:r w:rsidR="00005CA8">
        <w:rPr>
          <w:rFonts w:cstheme="minorHAnsi"/>
        </w:rPr>
        <w:t xml:space="preserve"> Gray</w:t>
      </w:r>
      <w:r w:rsidR="00A863FC">
        <w:rPr>
          <w:rFonts w:cstheme="minorHAnsi"/>
        </w:rPr>
        <w:t xml:space="preserve"> and t’Hart</w:t>
      </w:r>
      <w:r w:rsidR="00005CA8">
        <w:rPr>
          <w:rFonts w:cstheme="minorHAnsi"/>
        </w:rPr>
        <w:t xml:space="preserve"> (2019) which informed</w:t>
      </w:r>
      <w:r w:rsidRPr="0047453C">
        <w:rPr>
          <w:rFonts w:cstheme="minorHAnsi"/>
        </w:rPr>
        <w:t xml:space="preserve"> the </w:t>
      </w:r>
      <w:r w:rsidRPr="0047453C">
        <w:rPr>
          <w:rFonts w:cstheme="minorHAnsi"/>
          <w:i/>
          <w:iCs/>
        </w:rPr>
        <w:t>Independent Review of the APS</w:t>
      </w:r>
      <w:r w:rsidR="00005CA8">
        <w:rPr>
          <w:rFonts w:cstheme="minorHAnsi"/>
        </w:rPr>
        <w:t xml:space="preserve">. </w:t>
      </w:r>
      <w:r w:rsidR="003A782D">
        <w:rPr>
          <w:rFonts w:cstheme="minorHAnsi"/>
        </w:rPr>
        <w:t xml:space="preserve">While this </w:t>
      </w:r>
      <w:r w:rsidR="009C0AA0">
        <w:rPr>
          <w:rFonts w:cstheme="minorHAnsi"/>
        </w:rPr>
        <w:t>document</w:t>
      </w:r>
      <w:r w:rsidR="003A782D">
        <w:rPr>
          <w:rFonts w:cstheme="minorHAnsi"/>
        </w:rPr>
        <w:t xml:space="preserve"> is focused on evaluation of programs these tools will also be useful for interrogating the collaborative process.</w:t>
      </w:r>
      <w:r w:rsidRPr="0047453C">
        <w:rPr>
          <w:rFonts w:cstheme="minorHAnsi"/>
        </w:rPr>
        <w:t xml:space="preserve"> </w:t>
      </w:r>
      <w:r w:rsidR="00A863FC">
        <w:rPr>
          <w:rFonts w:cstheme="minorHAnsi"/>
        </w:rPr>
        <w:t xml:space="preserve">Bray, Gray and t’Hart </w:t>
      </w:r>
      <w:r w:rsidRPr="0047453C">
        <w:rPr>
          <w:rFonts w:cstheme="minorHAnsi"/>
        </w:rPr>
        <w:t xml:space="preserve">offer a suite of complementary options that could be explored by the APS, </w:t>
      </w:r>
      <w:r w:rsidR="00C222E9">
        <w:rPr>
          <w:rFonts w:cstheme="minorHAnsi"/>
        </w:rPr>
        <w:t xml:space="preserve">which </w:t>
      </w:r>
      <w:r w:rsidRPr="0047453C">
        <w:rPr>
          <w:rFonts w:cstheme="minorHAnsi"/>
        </w:rPr>
        <w:t xml:space="preserve">are worthy of consideration during this process as well. </w:t>
      </w:r>
    </w:p>
    <w:p w:rsidR="0047453C" w:rsidRPr="0047453C" w:rsidRDefault="0047453C" w:rsidP="00E84510">
      <w:pPr>
        <w:autoSpaceDE w:val="0"/>
        <w:autoSpaceDN w:val="0"/>
        <w:adjustRightInd w:val="0"/>
        <w:spacing w:after="0" w:line="240" w:lineRule="auto"/>
        <w:rPr>
          <w:rFonts w:cstheme="minorHAnsi"/>
        </w:rPr>
      </w:pPr>
    </w:p>
    <w:p w:rsidR="0047453C" w:rsidRPr="0047453C" w:rsidRDefault="0047453C" w:rsidP="00E84510">
      <w:pPr>
        <w:autoSpaceDE w:val="0"/>
        <w:autoSpaceDN w:val="0"/>
        <w:adjustRightInd w:val="0"/>
        <w:spacing w:after="0" w:line="240" w:lineRule="auto"/>
        <w:ind w:left="720"/>
        <w:rPr>
          <w:rFonts w:cstheme="minorHAnsi"/>
        </w:rPr>
      </w:pPr>
      <w:r w:rsidRPr="0047453C">
        <w:rPr>
          <w:rFonts w:cstheme="minorHAnsi"/>
        </w:rPr>
        <w:t xml:space="preserve">The building up of </w:t>
      </w:r>
      <w:r w:rsidR="00C222E9">
        <w:rPr>
          <w:rFonts w:cstheme="minorHAnsi"/>
          <w:b/>
          <w:bCs/>
        </w:rPr>
        <w:t xml:space="preserve">critical-incident and </w:t>
      </w:r>
      <w:r w:rsidRPr="0047453C">
        <w:rPr>
          <w:rFonts w:cstheme="minorHAnsi"/>
          <w:b/>
          <w:bCs/>
        </w:rPr>
        <w:t>near-miss reporting systems</w:t>
      </w:r>
      <w:r w:rsidRPr="0047453C">
        <w:rPr>
          <w:rFonts w:cstheme="minorHAnsi"/>
        </w:rPr>
        <w:t xml:space="preserve">, particularly within delivery and regulatory agencies. These can be modelled on good practices currently extant within, among others, the process industries, the aviation sector and hospitals. </w:t>
      </w:r>
    </w:p>
    <w:p w:rsidR="0047453C" w:rsidRPr="0047453C" w:rsidRDefault="0047453C" w:rsidP="00E84510">
      <w:pPr>
        <w:autoSpaceDE w:val="0"/>
        <w:autoSpaceDN w:val="0"/>
        <w:adjustRightInd w:val="0"/>
        <w:spacing w:after="0" w:line="240" w:lineRule="auto"/>
        <w:ind w:left="720"/>
        <w:rPr>
          <w:rFonts w:cstheme="minorHAnsi"/>
        </w:rPr>
      </w:pPr>
    </w:p>
    <w:p w:rsidR="0047453C" w:rsidRPr="0047453C" w:rsidRDefault="0047453C" w:rsidP="00E84510">
      <w:pPr>
        <w:autoSpaceDE w:val="0"/>
        <w:autoSpaceDN w:val="0"/>
        <w:adjustRightInd w:val="0"/>
        <w:spacing w:after="0" w:line="240" w:lineRule="auto"/>
        <w:ind w:left="720"/>
        <w:rPr>
          <w:rFonts w:cstheme="minorHAnsi"/>
        </w:rPr>
      </w:pPr>
      <w:r w:rsidRPr="0047453C">
        <w:rPr>
          <w:rFonts w:cstheme="minorHAnsi"/>
          <w:b/>
          <w:bCs/>
        </w:rPr>
        <w:t>Adopting ‘whole system in the room’ debriefs</w:t>
      </w:r>
      <w:r w:rsidRPr="0047453C">
        <w:rPr>
          <w:rFonts w:cstheme="minorHAnsi"/>
        </w:rPr>
        <w:t xml:space="preserve">. These are carefully prepared and facilitated Chatham House rule exercises where critical cases (near misses, explicit failures, ongoing or ad hoc instances of high performance) are reconstructed and reflected upon, drawing on the perspectives of designers, (co-)producers, deliverers, and targets/recipients of policies and programs. The focus lies on what may be learned from the experience, by whom and how this learning can be actioned. </w:t>
      </w:r>
    </w:p>
    <w:p w:rsidR="0047453C" w:rsidRPr="0047453C" w:rsidRDefault="0047453C" w:rsidP="00E84510">
      <w:pPr>
        <w:autoSpaceDE w:val="0"/>
        <w:autoSpaceDN w:val="0"/>
        <w:adjustRightInd w:val="0"/>
        <w:spacing w:after="0" w:line="240" w:lineRule="auto"/>
        <w:ind w:left="720"/>
        <w:rPr>
          <w:rFonts w:cstheme="minorHAnsi"/>
        </w:rPr>
      </w:pPr>
    </w:p>
    <w:p w:rsidR="0047453C" w:rsidRPr="0047453C" w:rsidRDefault="0047453C" w:rsidP="00E84510">
      <w:pPr>
        <w:autoSpaceDE w:val="0"/>
        <w:autoSpaceDN w:val="0"/>
        <w:adjustRightInd w:val="0"/>
        <w:spacing w:after="0" w:line="240" w:lineRule="auto"/>
        <w:ind w:left="720"/>
        <w:rPr>
          <w:rFonts w:cstheme="minorHAnsi"/>
        </w:rPr>
      </w:pPr>
      <w:r w:rsidRPr="0047453C">
        <w:rPr>
          <w:rFonts w:cstheme="minorHAnsi"/>
          <w:b/>
          <w:bCs/>
        </w:rPr>
        <w:t>‘Learning from our stakeholders’ exercises</w:t>
      </w:r>
      <w:r w:rsidRPr="0047453C">
        <w:rPr>
          <w:rFonts w:cstheme="minorHAnsi"/>
        </w:rPr>
        <w:t>. These can ta</w:t>
      </w:r>
      <w:r w:rsidR="00C222E9">
        <w:rPr>
          <w:rFonts w:cstheme="minorHAnsi"/>
        </w:rPr>
        <w:t xml:space="preserve">ke the shape of focus group </w:t>
      </w:r>
      <w:r w:rsidRPr="0047453C">
        <w:rPr>
          <w:rFonts w:cstheme="minorHAnsi"/>
        </w:rPr>
        <w:t>or fishbowl sessions. In these sessions, clients, stakeholders (including otherwise ‘soft voices’ in the sector), and independent experts of policies and programs are explicitly encouraged to articulate their experience of tensions, d</w:t>
      </w:r>
      <w:r w:rsidR="00C222E9">
        <w:rPr>
          <w:rFonts w:cstheme="minorHAnsi"/>
        </w:rPr>
        <w:t xml:space="preserve">isappointments and frustrations with an agency, </w:t>
      </w:r>
      <w:r w:rsidRPr="0047453C">
        <w:rPr>
          <w:rFonts w:cstheme="minorHAnsi"/>
        </w:rPr>
        <w:t xml:space="preserve">as well </w:t>
      </w:r>
      <w:r w:rsidR="00C222E9">
        <w:rPr>
          <w:rFonts w:cstheme="minorHAnsi"/>
        </w:rPr>
        <w:t>any</w:t>
      </w:r>
      <w:r w:rsidRPr="0047453C">
        <w:rPr>
          <w:rFonts w:cstheme="minorHAnsi"/>
        </w:rPr>
        <w:t xml:space="preserve"> highly positive, constructiv</w:t>
      </w:r>
      <w:r w:rsidR="00C222E9">
        <w:rPr>
          <w:rFonts w:cstheme="minorHAnsi"/>
        </w:rPr>
        <w:t>e and impressive performances by the agency</w:t>
      </w:r>
      <w:r w:rsidRPr="0047453C">
        <w:rPr>
          <w:rFonts w:cstheme="minorHAnsi"/>
        </w:rPr>
        <w:t>. Agency representatives observe but do not speak, let alone defend, during these sessions. The feedback obtained from these sessions can be compiled, anal</w:t>
      </w:r>
      <w:r w:rsidR="002E1C39">
        <w:rPr>
          <w:rFonts w:cstheme="minorHAnsi"/>
        </w:rPr>
        <w:t xml:space="preserve">ysed and used to craft unit, program and agency level </w:t>
      </w:r>
      <w:r w:rsidRPr="0047453C">
        <w:rPr>
          <w:rFonts w:cstheme="minorHAnsi"/>
        </w:rPr>
        <w:t>‘Learning from our Stakeholders’ reports. These reports can be used to feed into strategy, innovation, design and improvement processes within the agency.</w:t>
      </w:r>
    </w:p>
    <w:p w:rsidR="0047453C" w:rsidRPr="0047453C" w:rsidRDefault="0047453C" w:rsidP="00E84510">
      <w:pPr>
        <w:autoSpaceDE w:val="0"/>
        <w:autoSpaceDN w:val="0"/>
        <w:adjustRightInd w:val="0"/>
        <w:spacing w:after="0" w:line="240" w:lineRule="auto"/>
        <w:ind w:left="720"/>
        <w:rPr>
          <w:rFonts w:cstheme="minorHAnsi"/>
        </w:rPr>
      </w:pPr>
    </w:p>
    <w:p w:rsidR="0047453C" w:rsidRPr="0047453C" w:rsidRDefault="0047453C" w:rsidP="00E84510">
      <w:pPr>
        <w:autoSpaceDE w:val="0"/>
        <w:autoSpaceDN w:val="0"/>
        <w:adjustRightInd w:val="0"/>
        <w:spacing w:after="0" w:line="240" w:lineRule="auto"/>
        <w:ind w:left="720"/>
        <w:rPr>
          <w:rFonts w:cstheme="minorHAnsi"/>
        </w:rPr>
      </w:pPr>
      <w:r w:rsidRPr="0047453C">
        <w:rPr>
          <w:rFonts w:cstheme="minorHAnsi"/>
        </w:rPr>
        <w:t xml:space="preserve">Expanding and better using existing routines of </w:t>
      </w:r>
      <w:r w:rsidRPr="0047453C">
        <w:rPr>
          <w:rFonts w:cstheme="minorHAnsi"/>
          <w:b/>
          <w:bCs/>
        </w:rPr>
        <w:t>recognising professional achievement</w:t>
      </w:r>
      <w:r w:rsidRPr="0047453C">
        <w:rPr>
          <w:rFonts w:cstheme="minorHAnsi"/>
        </w:rPr>
        <w:t>. Awards events and competitions could be organised in a tiered, multilevel fashion (from branch to agency to APS systematic level). They could be designed and leveraged not just to put a positive spotlight on certain high-performing and dedicated individuals and teams, but to generate a series of standardised case narratives describing the nature, operative mechanisms and boundary conditions of successful performance. Such leveraging can take several forms, such as: – staging annual agency-level Learning Festivals open to all staff, where success cases are presented, subjected to ‘critical friend’ scrutiny and form the basis of ‘lesson-drawing’ workshops; – presenting award-winning cases from across the APS at dedicated AP</w:t>
      </w:r>
      <w:r w:rsidR="00923B3B">
        <w:rPr>
          <w:rFonts w:cstheme="minorHAnsi"/>
        </w:rPr>
        <w:t xml:space="preserve">SC-run Learning Conferences </w:t>
      </w:r>
      <w:r w:rsidRPr="0047453C">
        <w:rPr>
          <w:rFonts w:cstheme="minorHAnsi"/>
        </w:rPr>
        <w:t>or IPAA/ANZSOG annual</w:t>
      </w:r>
      <w:r w:rsidR="00923B3B">
        <w:rPr>
          <w:rFonts w:cstheme="minorHAnsi"/>
        </w:rPr>
        <w:t xml:space="preserve"> conferences open to the public.</w:t>
      </w:r>
    </w:p>
    <w:p w:rsidR="0047453C" w:rsidRPr="0047453C" w:rsidRDefault="0047453C" w:rsidP="00E84510">
      <w:pPr>
        <w:autoSpaceDE w:val="0"/>
        <w:autoSpaceDN w:val="0"/>
        <w:adjustRightInd w:val="0"/>
        <w:spacing w:after="0" w:line="240" w:lineRule="auto"/>
        <w:ind w:left="720"/>
        <w:rPr>
          <w:rFonts w:cstheme="minorHAnsi"/>
        </w:rPr>
      </w:pPr>
    </w:p>
    <w:p w:rsidR="0047453C" w:rsidRPr="0047453C" w:rsidRDefault="0047453C" w:rsidP="00E84510">
      <w:pPr>
        <w:autoSpaceDE w:val="0"/>
        <w:autoSpaceDN w:val="0"/>
        <w:adjustRightInd w:val="0"/>
        <w:spacing w:after="0" w:line="240" w:lineRule="auto"/>
        <w:ind w:left="720"/>
        <w:rPr>
          <w:rFonts w:cstheme="minorHAnsi"/>
        </w:rPr>
      </w:pPr>
      <w:r w:rsidRPr="0047453C">
        <w:rPr>
          <w:rFonts w:cstheme="minorHAnsi"/>
          <w:b/>
          <w:bCs/>
        </w:rPr>
        <w:t>Widely disseminating conference proceedings</w:t>
      </w:r>
      <w:r w:rsidRPr="0047453C">
        <w:rPr>
          <w:rFonts w:cstheme="minorHAnsi"/>
        </w:rPr>
        <w:t xml:space="preserve"> featuring both individual case histories as well as comparative, thematic and lesson-drawing reflections by commissioned observers, across and beyond the APS.</w:t>
      </w:r>
    </w:p>
    <w:p w:rsidR="0047453C" w:rsidRPr="0047453C" w:rsidRDefault="0047453C" w:rsidP="00E84510">
      <w:pPr>
        <w:autoSpaceDE w:val="0"/>
        <w:autoSpaceDN w:val="0"/>
        <w:adjustRightInd w:val="0"/>
        <w:spacing w:after="0" w:line="240" w:lineRule="auto"/>
        <w:ind w:left="720"/>
        <w:rPr>
          <w:rFonts w:cstheme="minorHAnsi"/>
        </w:rPr>
      </w:pPr>
    </w:p>
    <w:p w:rsidR="0047453C" w:rsidRPr="0047453C" w:rsidRDefault="0047453C" w:rsidP="00E84510">
      <w:pPr>
        <w:autoSpaceDE w:val="0"/>
        <w:autoSpaceDN w:val="0"/>
        <w:adjustRightInd w:val="0"/>
        <w:spacing w:after="0" w:line="240" w:lineRule="auto"/>
        <w:ind w:left="720"/>
        <w:rPr>
          <w:rFonts w:cstheme="minorHAnsi"/>
        </w:rPr>
      </w:pPr>
      <w:r w:rsidRPr="0047453C">
        <w:rPr>
          <w:rFonts w:cstheme="minorHAnsi"/>
        </w:rPr>
        <w:t xml:space="preserve">Training evaluators across the APS in the methodology and tools of </w:t>
      </w:r>
      <w:r w:rsidRPr="0047453C">
        <w:rPr>
          <w:rFonts w:cstheme="minorHAnsi"/>
          <w:b/>
          <w:bCs/>
        </w:rPr>
        <w:t>positive policy evaluation</w:t>
      </w:r>
      <w:r w:rsidRPr="0047453C">
        <w:rPr>
          <w:rFonts w:cstheme="minorHAnsi"/>
        </w:rPr>
        <w:t>, as well as encouraging their use by other review and accountability bodies such as the Auditor-General, the Ombudsman, and (through inculcation in the Ministerial and Parliamentary Services division) the Senate and House. These tools include: Appreciative Inquiry, the Success Case method, the Most Significant Change method, tracking and analysing instances of Positive Deviance, and Developmental Evaluation strategies. (24-25)</w:t>
      </w:r>
    </w:p>
    <w:p w:rsidR="0047453C" w:rsidRPr="0047453C" w:rsidRDefault="0047453C" w:rsidP="00E84510">
      <w:pPr>
        <w:autoSpaceDE w:val="0"/>
        <w:autoSpaceDN w:val="0"/>
        <w:adjustRightInd w:val="0"/>
        <w:spacing w:after="0" w:line="240" w:lineRule="auto"/>
        <w:rPr>
          <w:rFonts w:cstheme="minorHAnsi"/>
        </w:rPr>
      </w:pPr>
    </w:p>
    <w:p w:rsidR="0047453C" w:rsidRPr="0047453C" w:rsidRDefault="0047453C" w:rsidP="00E84510">
      <w:pPr>
        <w:autoSpaceDE w:val="0"/>
        <w:autoSpaceDN w:val="0"/>
        <w:adjustRightInd w:val="0"/>
        <w:spacing w:after="0" w:line="240" w:lineRule="auto"/>
        <w:rPr>
          <w:rFonts w:cstheme="minorHAnsi"/>
        </w:rPr>
      </w:pPr>
      <w:r w:rsidRPr="0047453C">
        <w:rPr>
          <w:rFonts w:cstheme="minorHAnsi"/>
        </w:rPr>
        <w:t xml:space="preserve">Undertaking this reflective work, and ideally making some of the lessons learned publicly available, will assist in the practice of stewardship. Again, turning to </w:t>
      </w:r>
      <w:r w:rsidR="00A863FC">
        <w:rPr>
          <w:rFonts w:cstheme="minorHAnsi"/>
        </w:rPr>
        <w:t xml:space="preserve">Bray, Gray and t’Hart (2019) </w:t>
      </w:r>
      <w:r w:rsidRPr="0047453C">
        <w:rPr>
          <w:rFonts w:cstheme="minorHAnsi"/>
        </w:rPr>
        <w:t xml:space="preserve">it is clear that </w:t>
      </w:r>
    </w:p>
    <w:p w:rsidR="0047453C" w:rsidRPr="0047453C" w:rsidRDefault="0047453C" w:rsidP="00651ADF">
      <w:pPr>
        <w:autoSpaceDE w:val="0"/>
        <w:autoSpaceDN w:val="0"/>
        <w:adjustRightInd w:val="0"/>
        <w:spacing w:line="240" w:lineRule="auto"/>
        <w:ind w:left="720"/>
        <w:rPr>
          <w:rFonts w:cstheme="minorHAnsi"/>
        </w:rPr>
      </w:pPr>
      <w:r w:rsidRPr="0047453C">
        <w:rPr>
          <w:rFonts w:cstheme="minorHAnsi"/>
        </w:rPr>
        <w:t>it needs to become both normal and safe within the APS to forensically – methodically, dispassionately – take stock and ‘look back’ at how and how well policies, programs and projects are performing; to actively seek out voices from clients, stakeholders and critics; to ask hard questions about what is valuable and what is not; and to re-examine beliefs and assumptions on which policy decisions were made and programs were designed in light of the subsequent experiences after they were put into practice. (26)</w:t>
      </w:r>
    </w:p>
    <w:p w:rsidR="0083003A" w:rsidRDefault="002C6CDD" w:rsidP="00E84510">
      <w:pPr>
        <w:autoSpaceDE w:val="0"/>
        <w:autoSpaceDN w:val="0"/>
        <w:adjustRightInd w:val="0"/>
        <w:spacing w:after="0" w:line="240" w:lineRule="auto"/>
        <w:rPr>
          <w:lang w:eastAsia="en-US"/>
        </w:rPr>
      </w:pPr>
      <w:r>
        <w:rPr>
          <w:rFonts w:cstheme="minorHAnsi"/>
        </w:rPr>
        <w:t xml:space="preserve">For this to be most effective, it should also involve a detailed process of evaluating </w:t>
      </w:r>
      <w:r w:rsidR="0047453C" w:rsidRPr="0047453C">
        <w:rPr>
          <w:rFonts w:cstheme="minorHAnsi"/>
        </w:rPr>
        <w:t xml:space="preserve">how it undertakes </w:t>
      </w:r>
      <w:r>
        <w:rPr>
          <w:rFonts w:cstheme="minorHAnsi"/>
        </w:rPr>
        <w:t xml:space="preserve">the process of collaboration and what lessons it can learn to </w:t>
      </w:r>
      <w:r w:rsidR="00CA3066">
        <w:rPr>
          <w:rFonts w:cstheme="minorHAnsi"/>
        </w:rPr>
        <w:t>improve moving forward</w:t>
      </w:r>
      <w:r w:rsidR="0047453C" w:rsidRPr="0047453C">
        <w:rPr>
          <w:rFonts w:cstheme="minorHAnsi"/>
        </w:rPr>
        <w:t xml:space="preserve">. </w:t>
      </w:r>
    </w:p>
    <w:p w:rsidR="0083003A" w:rsidRDefault="0083003A" w:rsidP="00E84510">
      <w:pPr>
        <w:rPr>
          <w:lang w:eastAsia="en-US"/>
        </w:rPr>
      </w:pPr>
    </w:p>
    <w:p w:rsidR="00F273A2" w:rsidRDefault="00F273A2" w:rsidP="00F273A2">
      <w:pPr>
        <w:pStyle w:val="Heading1"/>
        <w:sectPr w:rsidR="00F273A2" w:rsidSect="00EC5A58">
          <w:footerReference w:type="first" r:id="rId15"/>
          <w:pgSz w:w="11906" w:h="16838" w:code="9"/>
          <w:pgMar w:top="1134" w:right="1134" w:bottom="1134" w:left="1134" w:header="680" w:footer="794" w:gutter="0"/>
          <w:cols w:space="708"/>
          <w:titlePg/>
          <w:docGrid w:linePitch="360"/>
        </w:sectPr>
      </w:pPr>
    </w:p>
    <w:p w:rsidR="007E3827" w:rsidRDefault="007E3827" w:rsidP="00F273A2">
      <w:pPr>
        <w:pStyle w:val="Heading1"/>
      </w:pPr>
      <w:bookmarkStart w:id="15" w:name="_Toc140834172"/>
      <w:r>
        <w:t>Reference list</w:t>
      </w:r>
      <w:bookmarkEnd w:id="15"/>
    </w:p>
    <w:p w:rsidR="00B10239" w:rsidRDefault="00174FCE" w:rsidP="00B10239">
      <w:pPr>
        <w:pStyle w:val="Bibliography"/>
      </w:pPr>
      <w:r w:rsidRPr="007D324D">
        <w:rPr>
          <w:lang w:eastAsia="en-US"/>
        </w:rPr>
        <w:fldChar w:fldCharType="begin"/>
      </w:r>
      <w:r w:rsidR="00B10239">
        <w:rPr>
          <w:lang w:eastAsia="en-US"/>
        </w:rPr>
        <w:instrText xml:space="preserve"> ADDIN ZOTERO_BIBL {"uncited":[],"omitted":[],"custom":[]} CSL_BIBLIOGRAPHY </w:instrText>
      </w:r>
      <w:r w:rsidRPr="007D324D">
        <w:rPr>
          <w:lang w:eastAsia="en-US"/>
        </w:rPr>
        <w:fldChar w:fldCharType="separate"/>
      </w:r>
      <w:r w:rsidR="00B10239">
        <w:t xml:space="preserve">Ansell, C., &amp; Gash, A. (2008). Collaborative Governance in Theory and Practice. </w:t>
      </w:r>
      <w:r w:rsidR="00B10239">
        <w:rPr>
          <w:i/>
          <w:iCs/>
        </w:rPr>
        <w:t>Journal of Public Administration Research and Theory</w:t>
      </w:r>
      <w:r w:rsidR="00B10239">
        <w:t xml:space="preserve">, </w:t>
      </w:r>
      <w:r w:rsidR="00B10239">
        <w:rPr>
          <w:i/>
          <w:iCs/>
        </w:rPr>
        <w:t>18</w:t>
      </w:r>
      <w:r w:rsidR="00B10239">
        <w:t>(4), 543–571. https://doi.org/10.1093/jopart/mum032</w:t>
      </w:r>
    </w:p>
    <w:p w:rsidR="00B10239" w:rsidRDefault="00B10239" w:rsidP="00B10239">
      <w:pPr>
        <w:pStyle w:val="Bibliography"/>
      </w:pPr>
      <w:r>
        <w:t xml:space="preserve">Auld, M., Doig, E., &amp; Bennett, S. (2023). Knowledge Brokerage: The Musical: an analogy for explaining the role of knowledge brokers in a university setting. </w:t>
      </w:r>
      <w:r>
        <w:rPr>
          <w:i/>
          <w:iCs/>
        </w:rPr>
        <w:t>Evidence &amp; Policy</w:t>
      </w:r>
      <w:r>
        <w:t xml:space="preserve">, </w:t>
      </w:r>
      <w:r>
        <w:rPr>
          <w:i/>
          <w:iCs/>
        </w:rPr>
        <w:t>19</w:t>
      </w:r>
      <w:r>
        <w:t>(1), 149–164. https://doi.org/10.1332/174426421X16397424861558</w:t>
      </w:r>
    </w:p>
    <w:p w:rsidR="00B10239" w:rsidRDefault="00B10239" w:rsidP="00B10239">
      <w:pPr>
        <w:pStyle w:val="Bibliography"/>
      </w:pPr>
      <w:r>
        <w:t xml:space="preserve">Ball, S. (2023). </w:t>
      </w:r>
      <w:r>
        <w:rPr>
          <w:i/>
          <w:iCs/>
        </w:rPr>
        <w:t>Behavioural Public Policy in Australia: How an idea became practice</w:t>
      </w:r>
      <w:r>
        <w:t>. Routledge.</w:t>
      </w:r>
    </w:p>
    <w:p w:rsidR="00B10239" w:rsidRDefault="00B10239" w:rsidP="00B10239">
      <w:pPr>
        <w:pStyle w:val="Bibliography"/>
      </w:pPr>
      <w:r>
        <w:t xml:space="preserve">Bandola-Gill, J., &amp; Lyall, C. (2017). Knowledge brokers and policy advice in policy formulation. In M. Howlett &amp; I. Mukherjee (Eds.), </w:t>
      </w:r>
      <w:r>
        <w:rPr>
          <w:i/>
          <w:iCs/>
        </w:rPr>
        <w:t>Handbook of Policy Formulation</w:t>
      </w:r>
      <w:r>
        <w:t>. Edward Elgar. https://books.google.com.au/books?id=P_6lDgAAQBAJ</w:t>
      </w:r>
    </w:p>
    <w:p w:rsidR="00B10239" w:rsidRDefault="00B10239" w:rsidP="00B10239">
      <w:pPr>
        <w:pStyle w:val="Bibliography"/>
      </w:pPr>
      <w:r>
        <w:t xml:space="preserve">Behavioural Economics Team of the Australian Government (BETA). (2018). </w:t>
      </w:r>
      <w:r>
        <w:rPr>
          <w:i/>
          <w:iCs/>
        </w:rPr>
        <w:t>Saying more with less: Simplifying energy fact sheets</w:t>
      </w:r>
      <w:r>
        <w:t xml:space="preserve"> (D. of the P. M. and Cabinet, Ed.). Australian Government.</w:t>
      </w:r>
    </w:p>
    <w:p w:rsidR="00B10239" w:rsidRDefault="00B10239" w:rsidP="00B10239">
      <w:pPr>
        <w:pStyle w:val="Bibliography"/>
      </w:pPr>
      <w:r>
        <w:t xml:space="preserve">Behavioural Insights Team. (2018). </w:t>
      </w:r>
      <w:r>
        <w:rPr>
          <w:i/>
          <w:iCs/>
        </w:rPr>
        <w:t>Behavioural government</w:t>
      </w:r>
      <w:r>
        <w:t xml:space="preserve"> (B. I. Team, Ed.). Behavioural Insights Team.</w:t>
      </w:r>
    </w:p>
    <w:p w:rsidR="00B10239" w:rsidRDefault="00B10239" w:rsidP="00B10239">
      <w:pPr>
        <w:pStyle w:val="Bibliography"/>
      </w:pPr>
      <w:r>
        <w:t xml:space="preserve">Boaz, A., Grayson, L., Levitt, R., &amp; Solesbury, W. (2008). Does evidence-based policy work? Learning from the UK experience. </w:t>
      </w:r>
      <w:r>
        <w:rPr>
          <w:i/>
          <w:iCs/>
        </w:rPr>
        <w:t>Evidence &amp; Policy: A Journal of Research, Debate and Practice</w:t>
      </w:r>
      <w:r>
        <w:t xml:space="preserve">, </w:t>
      </w:r>
      <w:r>
        <w:rPr>
          <w:i/>
          <w:iCs/>
        </w:rPr>
        <w:t>4</w:t>
      </w:r>
      <w:r>
        <w:t>(2), 233–253.</w:t>
      </w:r>
    </w:p>
    <w:p w:rsidR="00B10239" w:rsidRDefault="00B10239" w:rsidP="00B10239">
      <w:pPr>
        <w:pStyle w:val="Bibliography"/>
      </w:pPr>
      <w:r>
        <w:t xml:space="preserve">Bornbaum, C. C., Kornas, K., Peirson, L., &amp; Rosella, L. C. (2015). Exploring the function and effectiveness of knowledge brokers as facilitators of knowledge translation in health-related settings: A systematic review and thematic analysis. </w:t>
      </w:r>
      <w:r>
        <w:rPr>
          <w:i/>
          <w:iCs/>
        </w:rPr>
        <w:t>Implementation Science</w:t>
      </w:r>
      <w:r>
        <w:t xml:space="preserve">, </w:t>
      </w:r>
      <w:r>
        <w:rPr>
          <w:i/>
          <w:iCs/>
        </w:rPr>
        <w:t>10</w:t>
      </w:r>
      <w:r>
        <w:t>(1), 162. https://doi.org/10.1186/s13012-015-0351-9</w:t>
      </w:r>
    </w:p>
    <w:p w:rsidR="00B10239" w:rsidRDefault="00B10239" w:rsidP="00B10239">
      <w:pPr>
        <w:pStyle w:val="Bibliography"/>
      </w:pPr>
      <w:r>
        <w:t xml:space="preserve">Boswell, C. (2009). </w:t>
      </w:r>
      <w:r>
        <w:rPr>
          <w:i/>
          <w:iCs/>
        </w:rPr>
        <w:t>The Political Uses of Expert Knowledge</w:t>
      </w:r>
      <w:r>
        <w:t>. Cambridge University Press. https://doi.org/10.1017/CBO9780511581120</w:t>
      </w:r>
    </w:p>
    <w:p w:rsidR="00B10239" w:rsidRDefault="00B10239" w:rsidP="00B10239">
      <w:pPr>
        <w:pStyle w:val="Bibliography"/>
      </w:pPr>
      <w:r>
        <w:t xml:space="preserve">Bovens, M., T’Hart, P., &amp; Peters, B. G. (2002). </w:t>
      </w:r>
      <w:r>
        <w:rPr>
          <w:i/>
          <w:iCs/>
        </w:rPr>
        <w:t>Success and failure in public governance: A comparative analysis</w:t>
      </w:r>
      <w:r>
        <w:t>. Edward Elgar Publishing.</w:t>
      </w:r>
    </w:p>
    <w:p w:rsidR="00010E82" w:rsidRPr="00010E82" w:rsidRDefault="00010E82" w:rsidP="00B10239">
      <w:pPr>
        <w:pStyle w:val="Bibliography"/>
      </w:pPr>
      <w:r>
        <w:rPr>
          <w:rFonts w:ascii="Arial" w:hAnsi="Arial" w:cs="Arial"/>
          <w:color w:val="222222"/>
          <w:sz w:val="20"/>
          <w:szCs w:val="20"/>
          <w:shd w:val="clear" w:color="auto" w:fill="FFFFFF"/>
        </w:rPr>
        <w:t xml:space="preserve">Bray, J., Gray, M., &amp; t Hart, P. (2019). </w:t>
      </w:r>
      <w:r w:rsidRPr="00010E82">
        <w:rPr>
          <w:rFonts w:ascii="Arial" w:hAnsi="Arial" w:cs="Arial"/>
          <w:i/>
          <w:color w:val="222222"/>
          <w:sz w:val="20"/>
          <w:szCs w:val="20"/>
          <w:shd w:val="clear" w:color="auto" w:fill="FFFFFF"/>
        </w:rPr>
        <w:t>Evaluation and learning from failure and success: An ANZSOG research paper for the Australian public service review panel.</w:t>
      </w:r>
      <w:r w:rsidRPr="00010E82">
        <w:t xml:space="preserve"> </w:t>
      </w:r>
      <w:r w:rsidRPr="00010E82">
        <w:rPr>
          <w:rFonts w:ascii="Arial" w:hAnsi="Arial" w:cs="Arial"/>
          <w:color w:val="222222"/>
          <w:sz w:val="20"/>
          <w:szCs w:val="20"/>
          <w:shd w:val="clear" w:color="auto" w:fill="FFFFFF"/>
        </w:rPr>
        <w:t>https://www.apsreview.gov.au/resources/evaluation-and-learning-failure-and-success</w:t>
      </w:r>
    </w:p>
    <w:p w:rsidR="00B10239" w:rsidRDefault="00B10239" w:rsidP="00B10239">
      <w:pPr>
        <w:pStyle w:val="Bibliography"/>
      </w:pPr>
      <w:r>
        <w:t xml:space="preserve">Bryson, J. M., Crosby, B. C., &amp; Stone, M. M. (2015). Designing and Implementing Cross-Sector Collaborations: Needed and Challenging. </w:t>
      </w:r>
      <w:r>
        <w:rPr>
          <w:i/>
          <w:iCs/>
        </w:rPr>
        <w:t>Public Administration Review</w:t>
      </w:r>
      <w:r>
        <w:t xml:space="preserve">, </w:t>
      </w:r>
      <w:r>
        <w:rPr>
          <w:i/>
          <w:iCs/>
        </w:rPr>
        <w:t>75</w:t>
      </w:r>
      <w:r>
        <w:t>(5), 647–663. https://doi.org/10.1111/puar.12432</w:t>
      </w:r>
    </w:p>
    <w:p w:rsidR="00B10239" w:rsidRDefault="00B10239" w:rsidP="00B10239">
      <w:pPr>
        <w:pStyle w:val="Bibliography"/>
      </w:pPr>
      <w:r>
        <w:t xml:space="preserve">Buick, F., Blackman, D., O’Flynn, J., O’Donnell, M., &amp; West, D. (2016). Effective Practitioner-Scholar Relationships: Lessons from a Coproduction Partnership. </w:t>
      </w:r>
      <w:r>
        <w:rPr>
          <w:i/>
          <w:iCs/>
        </w:rPr>
        <w:t>Public Administration Review</w:t>
      </w:r>
      <w:r>
        <w:t xml:space="preserve">, </w:t>
      </w:r>
      <w:r>
        <w:rPr>
          <w:i/>
          <w:iCs/>
        </w:rPr>
        <w:t>76</w:t>
      </w:r>
      <w:r>
        <w:t>(1), 35–47. https://doi.org/10.1111/puar.12481</w:t>
      </w:r>
    </w:p>
    <w:p w:rsidR="00B10239" w:rsidRDefault="00B10239" w:rsidP="00B10239">
      <w:pPr>
        <w:pStyle w:val="Bibliography"/>
      </w:pPr>
      <w:r>
        <w:t xml:space="preserve">Cairney, P. (2014). Evidence-based policymaking: If you want to inject more science into policymaking you need to know the science of policymaking. </w:t>
      </w:r>
      <w:r>
        <w:rPr>
          <w:i/>
          <w:iCs/>
        </w:rPr>
        <w:t>Political Studies Association Annual Conference, Manchester. Retrieved November</w:t>
      </w:r>
      <w:r>
        <w:t xml:space="preserve">, </w:t>
      </w:r>
      <w:r>
        <w:rPr>
          <w:i/>
          <w:iCs/>
        </w:rPr>
        <w:t>16</w:t>
      </w:r>
      <w:r>
        <w:t>, 2014.</w:t>
      </w:r>
    </w:p>
    <w:p w:rsidR="00B10239" w:rsidRDefault="00B10239" w:rsidP="00B10239">
      <w:pPr>
        <w:pStyle w:val="Bibliography"/>
      </w:pPr>
      <w:r>
        <w:t xml:space="preserve">Cairney, P. (2017). Evidence-based best practice is more political than it looks: A case study of the’Scottish Approach’. </w:t>
      </w:r>
      <w:r>
        <w:rPr>
          <w:i/>
          <w:iCs/>
        </w:rPr>
        <w:t>Evidence &amp; Policy: A Journal of Research, Debate and Practice</w:t>
      </w:r>
      <w:r>
        <w:t xml:space="preserve">, </w:t>
      </w:r>
      <w:r>
        <w:rPr>
          <w:i/>
          <w:iCs/>
        </w:rPr>
        <w:t>13</w:t>
      </w:r>
      <w:r>
        <w:t>(3), 499–515.</w:t>
      </w:r>
    </w:p>
    <w:p w:rsidR="00B10239" w:rsidRDefault="00B10239" w:rsidP="00B10239">
      <w:pPr>
        <w:pStyle w:val="Bibliography"/>
      </w:pPr>
      <w:r>
        <w:t xml:space="preserve">Cairney, P., Boaz, A., &amp; Oliver, K. (2023). Translating evidence into policy and practice: What do we know already, and what would further research look like? </w:t>
      </w:r>
      <w:r>
        <w:rPr>
          <w:i/>
          <w:iCs/>
        </w:rPr>
        <w:t>BMJ Quality and Safety</w:t>
      </w:r>
      <w:r>
        <w:t>, 251–253. https://doi.org/10.1136/bmjqs-2023-015911</w:t>
      </w:r>
    </w:p>
    <w:p w:rsidR="00B10239" w:rsidRDefault="00B10239" w:rsidP="00B10239">
      <w:pPr>
        <w:pStyle w:val="Bibliography"/>
      </w:pPr>
      <w:r>
        <w:t xml:space="preserve">Cherney, A., Head, B., Povey, J., Ferguson, M., &amp; Boreham, P. (2015). Use of academic social research by public officials: Exploring preferences and constraints that impact on research use. </w:t>
      </w:r>
      <w:r>
        <w:rPr>
          <w:i/>
          <w:iCs/>
        </w:rPr>
        <w:t>Evidence &amp; Policy: A Journal of Research, Debate and Practice</w:t>
      </w:r>
      <w:r>
        <w:t xml:space="preserve">, </w:t>
      </w:r>
      <w:r>
        <w:rPr>
          <w:i/>
          <w:iCs/>
        </w:rPr>
        <w:t>11</w:t>
      </w:r>
      <w:r>
        <w:t>(2), 169–188. https://doi.org/10.1332/174426514X14138926450067</w:t>
      </w:r>
    </w:p>
    <w:p w:rsidR="00B10239" w:rsidRDefault="00B10239" w:rsidP="00B10239">
      <w:pPr>
        <w:pStyle w:val="Bibliography"/>
      </w:pPr>
      <w:r>
        <w:t xml:space="preserve">Davies, H., Nutley, S., &amp; Walter, I. (2008). Why ‘Knowledge Transfer’ Is Misconceived for Applied Social Research. </w:t>
      </w:r>
      <w:r>
        <w:rPr>
          <w:i/>
          <w:iCs/>
        </w:rPr>
        <w:t>Journal of Health Services Research &amp; Policy</w:t>
      </w:r>
      <w:r>
        <w:t xml:space="preserve">, </w:t>
      </w:r>
      <w:r>
        <w:rPr>
          <w:i/>
          <w:iCs/>
        </w:rPr>
        <w:t>13</w:t>
      </w:r>
      <w:r>
        <w:t>(3), 188–190.</w:t>
      </w:r>
    </w:p>
    <w:p w:rsidR="00B10239" w:rsidRDefault="00B10239" w:rsidP="00B10239">
      <w:pPr>
        <w:pStyle w:val="Bibliography"/>
      </w:pPr>
      <w:r>
        <w:t xml:space="preserve">Dunlop, C. A., &amp; Radaelli, C. M. (2016). Policy learning in the Eurozone crisis: Modes, power and functionality. </w:t>
      </w:r>
      <w:r>
        <w:rPr>
          <w:i/>
          <w:iCs/>
        </w:rPr>
        <w:t>Policy Sciences</w:t>
      </w:r>
      <w:r>
        <w:t xml:space="preserve">, </w:t>
      </w:r>
      <w:r>
        <w:rPr>
          <w:i/>
          <w:iCs/>
        </w:rPr>
        <w:t>49</w:t>
      </w:r>
      <w:r>
        <w:t>(2), 107–124. https://doi.org/10.1007/s11077-015-9236-7</w:t>
      </w:r>
    </w:p>
    <w:p w:rsidR="00B10239" w:rsidRDefault="00B10239" w:rsidP="00B10239">
      <w:pPr>
        <w:pStyle w:val="Bibliography"/>
      </w:pPr>
      <w:r>
        <w:t xml:space="preserve">Ferguson, M., Cherney, A., Boreham, P., &amp; Head, B. (2014). Are policy-makers interested in social research? Exploring the sources and uses of valued information among public servants in Australia. </w:t>
      </w:r>
      <w:r>
        <w:rPr>
          <w:i/>
          <w:iCs/>
        </w:rPr>
        <w:t>Policy and Society</w:t>
      </w:r>
      <w:r>
        <w:t xml:space="preserve">, </w:t>
      </w:r>
      <w:r>
        <w:rPr>
          <w:i/>
          <w:iCs/>
        </w:rPr>
        <w:t>33</w:t>
      </w:r>
      <w:r>
        <w:t>(2), 89–101.</w:t>
      </w:r>
    </w:p>
    <w:p w:rsidR="00B10239" w:rsidRDefault="00B10239" w:rsidP="00B10239">
      <w:pPr>
        <w:pStyle w:val="Bibliography"/>
      </w:pPr>
      <w:r>
        <w:t xml:space="preserve">Foxen, S., &amp; Bermingham, R. (2022). </w:t>
      </w:r>
      <w:r>
        <w:rPr>
          <w:i/>
          <w:iCs/>
        </w:rPr>
        <w:t>Speaking a shared language</w:t>
      </w:r>
      <w:r>
        <w:t>. Edward Elgar Publishing. https://doi.org/10.4337/9781800378964.00010</w:t>
      </w:r>
    </w:p>
    <w:p w:rsidR="00B10239" w:rsidRDefault="00B10239" w:rsidP="00B10239">
      <w:pPr>
        <w:pStyle w:val="Bibliography"/>
      </w:pPr>
      <w:r>
        <w:t xml:space="preserve">Gardner, K., Blackman, D., &amp; Buick, F. (2021). Co-generated knowledge as a path for establishing research impact. </w:t>
      </w:r>
      <w:r>
        <w:rPr>
          <w:i/>
          <w:iCs/>
        </w:rPr>
        <w:t>Australian Journal of Public Administration</w:t>
      </w:r>
      <w:r>
        <w:t xml:space="preserve">, </w:t>
      </w:r>
      <w:r>
        <w:rPr>
          <w:i/>
          <w:iCs/>
        </w:rPr>
        <w:t>80</w:t>
      </w:r>
      <w:r>
        <w:t>(3), 577–589. https://doi.org/10.1111/1467-8500.12513</w:t>
      </w:r>
    </w:p>
    <w:p w:rsidR="00B10239" w:rsidRDefault="00B10239" w:rsidP="00B10239">
      <w:pPr>
        <w:pStyle w:val="Bibliography"/>
      </w:pPr>
      <w:r>
        <w:t xml:space="preserve">Government Office for Science. (2013). </w:t>
      </w:r>
      <w:r>
        <w:rPr>
          <w:i/>
          <w:iCs/>
        </w:rPr>
        <w:t>Engaging with academics: How to further strengthen open policy making—A guide for policy makers</w:t>
      </w:r>
      <w:r>
        <w:t>.</w:t>
      </w:r>
    </w:p>
    <w:p w:rsidR="00B10239" w:rsidRDefault="00B10239" w:rsidP="00B10239">
      <w:pPr>
        <w:pStyle w:val="Bibliography"/>
      </w:pPr>
      <w:r>
        <w:t xml:space="preserve">Haskins, R., &amp; Margolis, G. (2014). </w:t>
      </w:r>
      <w:r>
        <w:rPr>
          <w:i/>
          <w:iCs/>
        </w:rPr>
        <w:t>Show me the evidence: Obama’s fight for rigor and results in social policy</w:t>
      </w:r>
      <w:r>
        <w:t>. Brookings Institution Press.</w:t>
      </w:r>
    </w:p>
    <w:p w:rsidR="00B10239" w:rsidRDefault="00B10239" w:rsidP="00B10239">
      <w:pPr>
        <w:pStyle w:val="Bibliography"/>
      </w:pPr>
      <w:r>
        <w:t xml:space="preserve">Head, B. (2010). Reconsidering evidence-based policy: Key issues and challenges. </w:t>
      </w:r>
      <w:r>
        <w:rPr>
          <w:i/>
          <w:iCs/>
        </w:rPr>
        <w:t>Policy and Society</w:t>
      </w:r>
      <w:r>
        <w:t xml:space="preserve">, </w:t>
      </w:r>
      <w:r>
        <w:rPr>
          <w:i/>
          <w:iCs/>
        </w:rPr>
        <w:t>29</w:t>
      </w:r>
      <w:r>
        <w:t>(2), 77–94.</w:t>
      </w:r>
    </w:p>
    <w:p w:rsidR="00B10239" w:rsidRDefault="00B10239" w:rsidP="00B10239">
      <w:pPr>
        <w:pStyle w:val="Bibliography"/>
      </w:pPr>
      <w:r>
        <w:t xml:space="preserve">Head, B. (2015). Relationships between Policy Academics and Public Servants: Learning at a Distance? </w:t>
      </w:r>
      <w:r>
        <w:rPr>
          <w:i/>
          <w:iCs/>
        </w:rPr>
        <w:t>Australian Journal of Public Administration</w:t>
      </w:r>
      <w:r>
        <w:t xml:space="preserve">, </w:t>
      </w:r>
      <w:r>
        <w:rPr>
          <w:i/>
          <w:iCs/>
        </w:rPr>
        <w:t>74</w:t>
      </w:r>
      <w:r>
        <w:t>(1), 5–12.</w:t>
      </w:r>
    </w:p>
    <w:p w:rsidR="00B10239" w:rsidRDefault="00B10239" w:rsidP="00B10239">
      <w:pPr>
        <w:pStyle w:val="Bibliography"/>
      </w:pPr>
      <w:r>
        <w:t xml:space="preserve">Head, B. (2016). Toward More “Evidence-Informed” Policy Making? </w:t>
      </w:r>
      <w:r>
        <w:rPr>
          <w:i/>
          <w:iCs/>
        </w:rPr>
        <w:t>Public Administration Review</w:t>
      </w:r>
      <w:r>
        <w:t xml:space="preserve">, </w:t>
      </w:r>
      <w:r>
        <w:rPr>
          <w:i/>
          <w:iCs/>
        </w:rPr>
        <w:t>76</w:t>
      </w:r>
      <w:r>
        <w:t>(3), 472–484. https://doi.org/10.1111/puar.12475</w:t>
      </w:r>
    </w:p>
    <w:p w:rsidR="00B10239" w:rsidRDefault="00B10239" w:rsidP="00B10239">
      <w:pPr>
        <w:pStyle w:val="Bibliography"/>
      </w:pPr>
      <w:r>
        <w:t xml:space="preserve">Knight, C., &amp; Lightowler, C. (2010). Reflections of ‘knowledge exchange professionals’ in the social sciences: Emerging opportunities and challenges for university-based knowledge brokers. </w:t>
      </w:r>
      <w:r>
        <w:rPr>
          <w:i/>
          <w:iCs/>
        </w:rPr>
        <w:t>Evidence &amp; Policy</w:t>
      </w:r>
      <w:r>
        <w:t xml:space="preserve">, </w:t>
      </w:r>
      <w:r>
        <w:rPr>
          <w:i/>
          <w:iCs/>
        </w:rPr>
        <w:t>6</w:t>
      </w:r>
      <w:r>
        <w:t>(4), 543–556. https://doi.org/10.1332/174426410X535891</w:t>
      </w:r>
    </w:p>
    <w:p w:rsidR="00B10239" w:rsidRDefault="00B10239" w:rsidP="00B10239">
      <w:pPr>
        <w:pStyle w:val="Bibliography"/>
      </w:pPr>
      <w:r>
        <w:t xml:space="preserve">McConnell, A. (2010). </w:t>
      </w:r>
      <w:r>
        <w:rPr>
          <w:i/>
          <w:iCs/>
        </w:rPr>
        <w:t>Understanding policy success: Rethinking public policy</w:t>
      </w:r>
      <w:r>
        <w:t>. Palgrave Macmillan.</w:t>
      </w:r>
    </w:p>
    <w:p w:rsidR="00B10239" w:rsidRDefault="00B10239" w:rsidP="00B10239">
      <w:pPr>
        <w:pStyle w:val="Bibliography"/>
      </w:pPr>
      <w:r>
        <w:t xml:space="preserve">Menon, A., &amp; Rutter, J. (2022). From broadcast to engagement: Moving beyond traditional mechanisms. In </w:t>
      </w:r>
      <w:r>
        <w:rPr>
          <w:i/>
          <w:iCs/>
        </w:rPr>
        <w:t>How to engage policy makers with your research</w:t>
      </w:r>
      <w:r>
        <w:t>. Edward Elgar Publishing. https://doi.org/10.4337/9781800378964.00010</w:t>
      </w:r>
    </w:p>
    <w:p w:rsidR="00B10239" w:rsidRDefault="00B10239" w:rsidP="00B10239">
      <w:pPr>
        <w:pStyle w:val="Bibliography"/>
      </w:pPr>
      <w:r>
        <w:t xml:space="preserve">Mols, F., Head, B., &amp; Bell, J. (2018). Bridging the research–policy gap: The importance of effective identity leadership and shared commitment. </w:t>
      </w:r>
      <w:r>
        <w:rPr>
          <w:i/>
          <w:iCs/>
        </w:rPr>
        <w:t>Evidence &amp; Policy</w:t>
      </w:r>
      <w:r>
        <w:t xml:space="preserve">, </w:t>
      </w:r>
      <w:r>
        <w:rPr>
          <w:i/>
          <w:iCs/>
        </w:rPr>
        <w:t>TBC</w:t>
      </w:r>
      <w:r>
        <w:t>(TBC).</w:t>
      </w:r>
    </w:p>
    <w:p w:rsidR="00B10239" w:rsidRDefault="00B10239" w:rsidP="00B10239">
      <w:pPr>
        <w:pStyle w:val="Bibliography"/>
      </w:pPr>
      <w:r>
        <w:t xml:space="preserve">Mukhtarov, F., &amp; Daniell, K. (2016). </w:t>
      </w:r>
      <w:r>
        <w:rPr>
          <w:i/>
          <w:iCs/>
        </w:rPr>
        <w:t>Oxford Handbooks Online Transfer , Diffusion , Adaptation , and Translation of</w:t>
      </w:r>
      <w:r>
        <w:t xml:space="preserve">. </w:t>
      </w:r>
      <w:r>
        <w:rPr>
          <w:i/>
          <w:iCs/>
        </w:rPr>
        <w:t>October 2017</w:t>
      </w:r>
      <w:r>
        <w:t>. https://doi.org/10.1093/oxfordhb/9780199335084.013.30</w:t>
      </w:r>
    </w:p>
    <w:p w:rsidR="00B10239" w:rsidRDefault="00B10239" w:rsidP="00B10239">
      <w:pPr>
        <w:pStyle w:val="Bibliography"/>
      </w:pPr>
      <w:r>
        <w:t xml:space="preserve">O’Donoughue Jenkins, L., &amp; Anstey, K. (2017). The use of secondments as a tool to increase knowledge translation. </w:t>
      </w:r>
      <w:r>
        <w:rPr>
          <w:i/>
          <w:iCs/>
        </w:rPr>
        <w:t>Public Health Research &amp; Practice</w:t>
      </w:r>
      <w:r>
        <w:t xml:space="preserve">, </w:t>
      </w:r>
      <w:r>
        <w:rPr>
          <w:i/>
          <w:iCs/>
        </w:rPr>
        <w:t>27</w:t>
      </w:r>
      <w:r>
        <w:t>(1). http://www.phrp.com.au/issues/february-2017-volume-27-issue-1-2/the-use-of-secondments-as-a-tool-to-increase-knowledge-translation/</w:t>
      </w:r>
    </w:p>
    <w:p w:rsidR="00B10239" w:rsidRDefault="00B10239" w:rsidP="00B10239">
      <w:pPr>
        <w:pStyle w:val="Bibliography"/>
      </w:pPr>
      <w:r>
        <w:t xml:space="preserve">Oliver, K. (2022). Why Is It So Hard to Evaluate Knowledge Exchange?; Comment on “Sustaining Knowledge Translation Practices: A Critical Interpretive Synthesis”. </w:t>
      </w:r>
      <w:r>
        <w:rPr>
          <w:i/>
          <w:iCs/>
        </w:rPr>
        <w:t>International Journal of Health Policy and Management</w:t>
      </w:r>
      <w:r>
        <w:t>, 1. https://doi.org/10.34172/ijhpm.2022.6424</w:t>
      </w:r>
    </w:p>
    <w:p w:rsidR="00B10239" w:rsidRDefault="00B10239" w:rsidP="00B10239">
      <w:pPr>
        <w:pStyle w:val="Bibliography"/>
      </w:pPr>
      <w:r>
        <w:t xml:space="preserve">Oliver, K., Hopkins, A., Boaz, A., Guillot-Wright, S., &amp; Cairney, P. (2022). What works to promote research-policy engagement? </w:t>
      </w:r>
      <w:r>
        <w:rPr>
          <w:i/>
          <w:iCs/>
        </w:rPr>
        <w:t>Evidence &amp; Policy</w:t>
      </w:r>
      <w:r>
        <w:t xml:space="preserve">, </w:t>
      </w:r>
      <w:r>
        <w:rPr>
          <w:i/>
          <w:iCs/>
        </w:rPr>
        <w:t>18</w:t>
      </w:r>
      <w:r>
        <w:t>(4), 691–713. https://doi.org/10.1332/174426421X16420918447616</w:t>
      </w:r>
    </w:p>
    <w:p w:rsidR="00B10239" w:rsidRDefault="00B10239" w:rsidP="00B10239">
      <w:pPr>
        <w:pStyle w:val="Bibliography"/>
      </w:pPr>
      <w:r>
        <w:t xml:space="preserve">Oliver, K., Innvar, S., Lorenc, T., Woodman, J., &amp; Thomas, J. (2014). A systematic review of barriers to and facilitators of the use of evidence by policymakers. </w:t>
      </w:r>
      <w:r>
        <w:rPr>
          <w:i/>
          <w:iCs/>
        </w:rPr>
        <w:t>BMC Health Services Research</w:t>
      </w:r>
      <w:r>
        <w:t xml:space="preserve">, </w:t>
      </w:r>
      <w:r>
        <w:rPr>
          <w:i/>
          <w:iCs/>
        </w:rPr>
        <w:t>14</w:t>
      </w:r>
      <w:r>
        <w:t>(1), 2.</w:t>
      </w:r>
    </w:p>
    <w:p w:rsidR="00B10239" w:rsidRDefault="00B10239" w:rsidP="00B10239">
      <w:pPr>
        <w:pStyle w:val="Bibliography"/>
      </w:pPr>
      <w:r>
        <w:t xml:space="preserve">Parkhurst, J. (2016). </w:t>
      </w:r>
      <w:r>
        <w:rPr>
          <w:i/>
          <w:iCs/>
        </w:rPr>
        <w:t>The politics of evidence: From evidence-based policy to the good governance of evidence</w:t>
      </w:r>
      <w:r>
        <w:t>. Routledge.</w:t>
      </w:r>
    </w:p>
    <w:p w:rsidR="00B10239" w:rsidRDefault="00B10239" w:rsidP="00B10239">
      <w:pPr>
        <w:pStyle w:val="Bibliography"/>
      </w:pPr>
      <w:r>
        <w:t xml:space="preserve">Sasse, T., &amp; Haddon, C. (2018). </w:t>
      </w:r>
      <w:r>
        <w:rPr>
          <w:i/>
          <w:iCs/>
        </w:rPr>
        <w:t>How government can work with academia</w:t>
      </w:r>
      <w:r>
        <w:t>. Institute for Government.</w:t>
      </w:r>
    </w:p>
    <w:p w:rsidR="00B10239" w:rsidRDefault="00B10239" w:rsidP="00B10239">
      <w:pPr>
        <w:pStyle w:val="Bibliography"/>
      </w:pPr>
      <w:r>
        <w:t xml:space="preserve">Stark, A. (2019). Policy learning and the public inquiry. </w:t>
      </w:r>
      <w:r>
        <w:rPr>
          <w:i/>
          <w:iCs/>
        </w:rPr>
        <w:t>Policy Sciences</w:t>
      </w:r>
      <w:r>
        <w:t xml:space="preserve">, </w:t>
      </w:r>
      <w:r>
        <w:rPr>
          <w:i/>
          <w:iCs/>
        </w:rPr>
        <w:t>52</w:t>
      </w:r>
      <w:r>
        <w:t>(3), 397–417. https://doi.org/10.1007/s11077-019-09348-0</w:t>
      </w:r>
    </w:p>
    <w:p w:rsidR="00B10239" w:rsidRDefault="00B10239" w:rsidP="00B10239">
      <w:pPr>
        <w:pStyle w:val="Bibliography"/>
      </w:pPr>
      <w:r>
        <w:t xml:space="preserve">Stoker, G., &amp; Evans, M. (2016). </w:t>
      </w:r>
      <w:r>
        <w:rPr>
          <w:i/>
          <w:iCs/>
        </w:rPr>
        <w:t>Evidence-based policy making in the social sciences: Methods that matter</w:t>
      </w:r>
      <w:r>
        <w:t>. POL017000: Policy Press. https://doi.org/10.1332/policypress/9781447329367.001.0001</w:t>
      </w:r>
    </w:p>
    <w:p w:rsidR="00B10239" w:rsidRDefault="00B10239" w:rsidP="00B10239">
      <w:pPr>
        <w:pStyle w:val="Bibliography"/>
      </w:pPr>
      <w:r>
        <w:t xml:space="preserve">Sullivan, H. (2022). </w:t>
      </w:r>
      <w:r>
        <w:rPr>
          <w:i/>
          <w:iCs/>
        </w:rPr>
        <w:t>Collaboration and Public Policy Agency in the Pursuit of Public Purpose</w:t>
      </w:r>
      <w:r>
        <w:t>. Palgrave MacMillan.</w:t>
      </w:r>
    </w:p>
    <w:p w:rsidR="00B10239" w:rsidRDefault="00B10239" w:rsidP="00B10239">
      <w:pPr>
        <w:pStyle w:val="Bibliography"/>
      </w:pPr>
      <w:r>
        <w:t xml:space="preserve">Uneke, C. J., Ezeoha, A. E., Uro-Chukwu, H., Ezeonu, C. T., Ogbu, O., Onwe, F., &amp; Edoga, C. (2015). Enhancing the capacity of policy-makers to develop evidence-informed policy brief on infectious diseases of poverty in Nigeria. </w:t>
      </w:r>
      <w:r>
        <w:rPr>
          <w:i/>
          <w:iCs/>
        </w:rPr>
        <w:t>International Journal of Health Policy and Management</w:t>
      </w:r>
      <w:r>
        <w:t xml:space="preserve">, </w:t>
      </w:r>
      <w:r>
        <w:rPr>
          <w:i/>
          <w:iCs/>
        </w:rPr>
        <w:t>4</w:t>
      </w:r>
      <w:r>
        <w:t>(9), 599.</w:t>
      </w:r>
    </w:p>
    <w:p w:rsidR="00B10239" w:rsidRDefault="00B10239" w:rsidP="00B10239">
      <w:pPr>
        <w:pStyle w:val="Bibliography"/>
      </w:pPr>
      <w:r>
        <w:t xml:space="preserve">van der Arend, J. (2014). Bridging the research/policy gap: Policy officials’ perspectives on the barriers and facilitators to effective links between academic and policy worlds. </w:t>
      </w:r>
      <w:r>
        <w:rPr>
          <w:i/>
          <w:iCs/>
        </w:rPr>
        <w:t>Policy Studies</w:t>
      </w:r>
      <w:r>
        <w:t xml:space="preserve">, </w:t>
      </w:r>
      <w:r>
        <w:rPr>
          <w:i/>
          <w:iCs/>
        </w:rPr>
        <w:t>35</w:t>
      </w:r>
      <w:r>
        <w:t>(6), 611–630. https://doi.org/10.1080/01442872.2014.971731</w:t>
      </w:r>
    </w:p>
    <w:p w:rsidR="00B10239" w:rsidRDefault="00B10239" w:rsidP="00B10239">
      <w:pPr>
        <w:pStyle w:val="Bibliography"/>
      </w:pPr>
      <w:r>
        <w:t xml:space="preserve">Weick, K. E. (1984). Small wins: Redefining the scale of social problems. </w:t>
      </w:r>
      <w:r>
        <w:rPr>
          <w:i/>
          <w:iCs/>
        </w:rPr>
        <w:t>American Psychologist</w:t>
      </w:r>
      <w:r>
        <w:t xml:space="preserve">, </w:t>
      </w:r>
      <w:r>
        <w:rPr>
          <w:i/>
          <w:iCs/>
        </w:rPr>
        <w:t>39</w:t>
      </w:r>
      <w:r>
        <w:t>(1), 40.</w:t>
      </w:r>
    </w:p>
    <w:p w:rsidR="00B10239" w:rsidRDefault="00B10239" w:rsidP="00B10239">
      <w:pPr>
        <w:pStyle w:val="Bibliography"/>
      </w:pPr>
      <w:r>
        <w:t xml:space="preserve">Weiss, C. H. (1986). The many meanings of research utilisation. In M. Bulmer (Ed.), </w:t>
      </w:r>
      <w:r>
        <w:rPr>
          <w:i/>
          <w:iCs/>
        </w:rPr>
        <w:t>Social Science &amp; Social Policy</w:t>
      </w:r>
      <w:r>
        <w:t>. Allen &amp; Unwin.</w:t>
      </w:r>
    </w:p>
    <w:p w:rsidR="00B10239" w:rsidRDefault="00B10239" w:rsidP="00B10239">
      <w:pPr>
        <w:pStyle w:val="Bibliography"/>
      </w:pPr>
      <w:r>
        <w:t xml:space="preserve">Western, M. (2019). How to Increase the Relevance and Use of Social and Behavioral Science: Lessons for Policy-makers, Researchers and Others. </w:t>
      </w:r>
      <w:r>
        <w:rPr>
          <w:i/>
          <w:iCs/>
        </w:rPr>
        <w:t>Justice Evaluation Journal</w:t>
      </w:r>
      <w:r>
        <w:t xml:space="preserve">, </w:t>
      </w:r>
      <w:r>
        <w:rPr>
          <w:i/>
          <w:iCs/>
        </w:rPr>
        <w:t>2</w:t>
      </w:r>
      <w:r>
        <w:t>(1), 18–34.</w:t>
      </w:r>
    </w:p>
    <w:p w:rsidR="00CE3975" w:rsidRDefault="00174FCE" w:rsidP="007D324D">
      <w:pPr>
        <w:spacing w:after="0" w:line="240" w:lineRule="auto"/>
        <w:jc w:val="both"/>
        <w:rPr>
          <w:lang w:eastAsia="en-US"/>
        </w:rPr>
      </w:pPr>
      <w:r w:rsidRPr="007D324D">
        <w:rPr>
          <w:lang w:eastAsia="en-US"/>
        </w:rPr>
        <w:fldChar w:fldCharType="end"/>
      </w:r>
    </w:p>
    <w:p w:rsidR="00F85BF2" w:rsidRDefault="00F85BF2" w:rsidP="00980743">
      <w:pPr>
        <w:spacing w:after="160" w:line="259" w:lineRule="auto"/>
        <w:rPr>
          <w:lang w:eastAsia="en-US"/>
        </w:rPr>
      </w:pPr>
    </w:p>
    <w:p w:rsidR="00F85BF2" w:rsidRDefault="00F85BF2" w:rsidP="00980743">
      <w:pPr>
        <w:spacing w:after="160" w:line="259" w:lineRule="auto"/>
        <w:rPr>
          <w:lang w:eastAsia="en-US"/>
        </w:rPr>
      </w:pPr>
    </w:p>
    <w:p w:rsidR="00A863FC" w:rsidRDefault="00A863FC">
      <w:pPr>
        <w:spacing w:after="160" w:line="259" w:lineRule="auto"/>
        <w:rPr>
          <w:rFonts w:ascii="Calibri" w:eastAsia="Calibri" w:hAnsi="Calibri" w:cs="Times New Roman"/>
          <w:lang w:eastAsia="en-US"/>
        </w:rPr>
      </w:pPr>
      <w:r>
        <w:rPr>
          <w:rFonts w:ascii="Calibri" w:eastAsia="Calibri" w:hAnsi="Calibri" w:cs="Times New Roman"/>
          <w:lang w:eastAsia="en-US"/>
        </w:rPr>
        <w:br w:type="page"/>
      </w:r>
    </w:p>
    <w:p w:rsidR="00F85BF2" w:rsidRPr="00980743" w:rsidRDefault="00F85BF2" w:rsidP="00F85BF2">
      <w:pPr>
        <w:spacing w:after="160" w:line="259" w:lineRule="auto"/>
        <w:rPr>
          <w:rFonts w:ascii="Calibri" w:eastAsia="Calibri" w:hAnsi="Calibri" w:cs="Times New Roman"/>
          <w:lang w:eastAsia="en-US"/>
        </w:rPr>
      </w:pPr>
      <w:r w:rsidRPr="00980743">
        <w:rPr>
          <w:rFonts w:ascii="Calibri" w:eastAsia="Calibri" w:hAnsi="Calibri" w:cs="Times New Roman"/>
          <w:lang w:eastAsia="en-US"/>
        </w:rPr>
        <w:t xml:space="preserve">This report was prepared by: </w:t>
      </w:r>
    </w:p>
    <w:p w:rsidR="00F85BF2" w:rsidRPr="00980743" w:rsidRDefault="00F85BF2" w:rsidP="00F85BF2">
      <w:pPr>
        <w:spacing w:after="160" w:line="259" w:lineRule="auto"/>
        <w:rPr>
          <w:rFonts w:ascii="Calibri" w:eastAsia="Calibri" w:hAnsi="Calibri" w:cs="Times New Roman"/>
          <w:lang w:eastAsia="en-US"/>
        </w:rPr>
      </w:pPr>
      <w:r w:rsidRPr="00980743">
        <w:rPr>
          <w:rFonts w:ascii="Calibri" w:eastAsia="Calibri" w:hAnsi="Calibri" w:cs="Times New Roman"/>
          <w:lang w:eastAsia="en-US"/>
        </w:rPr>
        <w:t>Dr Sarah Ball</w:t>
      </w:r>
    </w:p>
    <w:p w:rsidR="00F85BF2" w:rsidRPr="00980743" w:rsidRDefault="00F85BF2" w:rsidP="00F85BF2">
      <w:pPr>
        <w:spacing w:after="160" w:line="259" w:lineRule="auto"/>
        <w:rPr>
          <w:rFonts w:ascii="Calibri" w:eastAsia="Calibri" w:hAnsi="Calibri" w:cs="Times New Roman"/>
          <w:lang w:eastAsia="en-US"/>
        </w:rPr>
      </w:pPr>
      <w:r w:rsidRPr="00980743">
        <w:rPr>
          <w:rFonts w:ascii="Calibri" w:eastAsia="Calibri" w:hAnsi="Calibri" w:cs="Times New Roman"/>
          <w:lang w:eastAsia="en-US"/>
        </w:rPr>
        <w:t>School of Social and Political Sciences, University of Melbourne</w:t>
      </w:r>
    </w:p>
    <w:p w:rsidR="007E3827" w:rsidRPr="007E3827" w:rsidRDefault="00F85BF2" w:rsidP="00980743">
      <w:pPr>
        <w:spacing w:after="160" w:line="259" w:lineRule="auto"/>
        <w:rPr>
          <w:lang w:eastAsia="en-US"/>
        </w:rPr>
      </w:pPr>
      <w:r w:rsidRPr="00980743">
        <w:rPr>
          <w:rFonts w:ascii="Calibri" w:eastAsia="Calibri" w:hAnsi="Calibri" w:cs="Times New Roman"/>
          <w:lang w:eastAsia="en-US"/>
        </w:rPr>
        <w:t>Victoria, 3010, Australia</w:t>
      </w:r>
      <w:r w:rsidR="00F137DB">
        <w:rPr>
          <w:rFonts w:ascii="Calibri" w:eastAsia="Calibri" w:hAnsi="Calibri" w:cs="Times New Roman"/>
          <w:noProof/>
          <w:lang w:eastAsia="en-AU"/>
        </w:rPr>
        <mc:AlternateContent>
          <mc:Choice Requires="wps">
            <w:drawing>
              <wp:anchor distT="0" distB="0" distL="114300" distR="114300" simplePos="0" relativeHeight="251670529" behindDoc="1" locked="0" layoutInCell="1" allowOverlap="1" wp14:anchorId="7179DC36" wp14:editId="6B01EE76">
                <wp:simplePos x="0" y="0"/>
                <wp:positionH relativeFrom="column">
                  <wp:posOffset>-364490</wp:posOffset>
                </wp:positionH>
                <wp:positionV relativeFrom="paragraph">
                  <wp:posOffset>1771650</wp:posOffset>
                </wp:positionV>
                <wp:extent cx="6959600" cy="1147864"/>
                <wp:effectExtent l="0" t="0" r="12700" b="14605"/>
                <wp:wrapNone/>
                <wp:docPr id="20" name="Rectangle 20"/>
                <wp:cNvGraphicFramePr/>
                <a:graphic xmlns:a="http://schemas.openxmlformats.org/drawingml/2006/main">
                  <a:graphicData uri="http://schemas.microsoft.com/office/word/2010/wordprocessingShape">
                    <wps:wsp>
                      <wps:cNvSpPr/>
                      <wps:spPr>
                        <a:xfrm>
                          <a:off x="0" y="0"/>
                          <a:ext cx="6959600" cy="1147864"/>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1FF86B" id="Rectangle 20" o:spid="_x0000_s1026" style="position:absolute;margin-left:-28.7pt;margin-top:139.5pt;width:548pt;height:90.4pt;z-index:-2516459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" fillcolor="white [3214]" strokecolor="white [3212]" strokeweight="1pt"/>
            </w:pict>
          </mc:Fallback>
        </mc:AlternateContent>
      </w:r>
      <w:r w:rsidR="0041340E">
        <w:rPr>
          <w:noProof/>
          <w:lang w:eastAsia="en-AU"/>
        </w:rPr>
        <mc:AlternateContent>
          <mc:Choice Requires="wps">
            <w:drawing>
              <wp:anchor distT="0" distB="0" distL="114300" distR="114300" simplePos="0" relativeHeight="251664385" behindDoc="0" locked="0" layoutInCell="1" allowOverlap="1" wp14:anchorId="442625F8" wp14:editId="068B73BD">
                <wp:simplePos x="0" y="0"/>
                <wp:positionH relativeFrom="column">
                  <wp:posOffset>-571233</wp:posOffset>
                </wp:positionH>
                <wp:positionV relativeFrom="paragraph">
                  <wp:posOffset>7643052</wp:posOffset>
                </wp:positionV>
                <wp:extent cx="7017208" cy="1063256"/>
                <wp:effectExtent l="0" t="0" r="12700" b="22860"/>
                <wp:wrapNone/>
                <wp:docPr id="18" name="Rectangle 18"/>
                <wp:cNvGraphicFramePr/>
                <a:graphic xmlns:a="http://schemas.openxmlformats.org/drawingml/2006/main">
                  <a:graphicData uri="http://schemas.microsoft.com/office/word/2010/wordprocessingShape">
                    <wps:wsp>
                      <wps:cNvSpPr/>
                      <wps:spPr>
                        <a:xfrm>
                          <a:off x="0" y="0"/>
                          <a:ext cx="7017208" cy="1063256"/>
                        </a:xfrm>
                        <a:prstGeom prst="rect">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DB71D" id="Rectangle 18" o:spid="_x0000_s1026" style="position:absolute;margin-left:-45pt;margin-top:601.8pt;width:552.55pt;height:83.7pt;z-index:25166438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" fillcolor="white [3214]" strokecolor="white [3212]" strokeweight="1pt"/>
            </w:pict>
          </mc:Fallback>
        </mc:AlternateContent>
      </w:r>
    </w:p>
    <w:sectPr w:rsidR="007E3827" w:rsidRPr="007E3827" w:rsidSect="00EC5A58">
      <w:footerReference w:type="default" r:id="rId16"/>
      <w:pgSz w:w="11906" w:h="16838" w:code="9"/>
      <w:pgMar w:top="1134" w:right="1134" w:bottom="1134" w:left="1134" w:header="680" w:footer="79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761ADB" w16cid:durableId="28629C95"/>
  <w16cid:commentId w16cid:paraId="79B4F449" w16cid:durableId="2862A0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DC6" w:rsidRDefault="00D14DC6" w:rsidP="00BC71CA">
      <w:pPr>
        <w:spacing w:after="0" w:line="240" w:lineRule="auto"/>
      </w:pPr>
      <w:r>
        <w:separator/>
      </w:r>
    </w:p>
  </w:endnote>
  <w:endnote w:type="continuationSeparator" w:id="0">
    <w:p w:rsidR="00D14DC6" w:rsidRDefault="00D14DC6" w:rsidP="00BC71CA">
      <w:pPr>
        <w:spacing w:after="0" w:line="240" w:lineRule="auto"/>
      </w:pPr>
      <w:r>
        <w:continuationSeparator/>
      </w:r>
    </w:p>
  </w:endnote>
  <w:endnote w:type="continuationNotice" w:id="1">
    <w:p w:rsidR="00D14DC6" w:rsidRDefault="00D14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46A" w:rsidRDefault="0053346A" w:rsidP="00E10F5F">
    <w:pPr>
      <w:pStyle w:val="Footer"/>
    </w:pPr>
    <w:r>
      <w:t>Australian Public Service-Academia Collaboration Workshop Discussion Paper</w:t>
    </w:r>
  </w:p>
  <w:p w:rsidR="0053346A" w:rsidRPr="00F372BF" w:rsidRDefault="0053346A" w:rsidP="009E7861">
    <w:pPr>
      <w:pStyle w:val="Footerright"/>
      <w:framePr w:wrap="around"/>
    </w:pPr>
    <w:r w:rsidRPr="009E7861">
      <w:t xml:space="preserve">Page </w:t>
    </w:r>
    <w:r w:rsidRPr="009E7861">
      <w:fldChar w:fldCharType="begin"/>
    </w:r>
    <w:r w:rsidRPr="009E7861">
      <w:instrText xml:space="preserve"> PAGE  \* Arabic  \* MERGEFORMAT </w:instrText>
    </w:r>
    <w:r w:rsidRPr="009E7861">
      <w:fldChar w:fldCharType="separate"/>
    </w:r>
    <w:r w:rsidR="000B6BC3">
      <w:rPr>
        <w:noProof/>
      </w:rPr>
      <w:t>2</w:t>
    </w:r>
    <w:r w:rsidRPr="009E7861">
      <w:fldChar w:fldCharType="end"/>
    </w:r>
    <w:r w:rsidRPr="009E7861">
      <w:t xml:space="preserve"> of </w:t>
    </w:r>
    <w:fldSimple w:instr=" NUMPAGES  \* Arabic  \* MERGEFORMAT ">
      <w:r w:rsidR="000B6BC3">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46A" w:rsidRDefault="0053346A">
    <w:pPr>
      <w:pStyle w:val="Footer"/>
    </w:pPr>
    <w:r>
      <w:t>Australian Public Service-Academia Collaboration Workshop Discussion Paper                              Page 11 of 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46A" w:rsidRDefault="0053346A" w:rsidP="00E10F5F">
    <w:pPr>
      <w:pStyle w:val="Footer"/>
    </w:pPr>
    <w:r>
      <w:t>Australian Public Service-Academia Collaboration Workshop Discussion Paper</w:t>
    </w:r>
  </w:p>
  <w:p w:rsidR="0053346A" w:rsidRPr="00F372BF" w:rsidRDefault="0053346A" w:rsidP="009E7861">
    <w:pPr>
      <w:pStyle w:val="Footerright"/>
      <w:framePr w:wrap="around"/>
    </w:pPr>
    <w:r w:rsidRPr="009E7861">
      <w:t xml:space="preserve">Page </w:t>
    </w:r>
    <w:r w:rsidRPr="009E7861">
      <w:fldChar w:fldCharType="begin"/>
    </w:r>
    <w:r w:rsidRPr="009E7861">
      <w:instrText xml:space="preserve"> PAGE  \* Arabic  \* MERGEFORMAT </w:instrText>
    </w:r>
    <w:r w:rsidRPr="009E7861">
      <w:fldChar w:fldCharType="separate"/>
    </w:r>
    <w:r w:rsidR="004C1E7E">
      <w:rPr>
        <w:noProof/>
      </w:rPr>
      <w:t>20</w:t>
    </w:r>
    <w:r w:rsidRPr="009E7861">
      <w:fldChar w:fldCharType="end"/>
    </w:r>
    <w:r w:rsidRPr="009E7861">
      <w:t xml:space="preserve"> of </w:t>
    </w:r>
    <w:fldSimple w:instr=" NUMPAGES  \* Arabic  \* MERGEFORMAT ">
      <w:r w:rsidR="004C1E7E">
        <w:rPr>
          <w:noProof/>
        </w:rP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DC6" w:rsidRDefault="00D14DC6" w:rsidP="00BC71CA">
      <w:pPr>
        <w:spacing w:after="0" w:line="240" w:lineRule="auto"/>
      </w:pPr>
      <w:r>
        <w:separator/>
      </w:r>
    </w:p>
  </w:footnote>
  <w:footnote w:type="continuationSeparator" w:id="0">
    <w:p w:rsidR="00D14DC6" w:rsidRDefault="00D14DC6" w:rsidP="00BC71CA">
      <w:pPr>
        <w:spacing w:after="0" w:line="240" w:lineRule="auto"/>
      </w:pPr>
      <w:r>
        <w:continuationSeparator/>
      </w:r>
    </w:p>
  </w:footnote>
  <w:footnote w:type="continuationNotice" w:id="1">
    <w:p w:rsidR="00D14DC6" w:rsidRDefault="00D14D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46A" w:rsidRDefault="0053346A">
    <w:pPr>
      <w:pStyle w:val="Header"/>
    </w:pPr>
  </w:p>
  <w:p w:rsidR="0053346A" w:rsidRDefault="00533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F478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342A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42C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F87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E69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34CB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9A4D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8098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5AF7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A283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01DFC"/>
    <w:multiLevelType w:val="hybridMultilevel"/>
    <w:tmpl w:val="C3B0CDD2"/>
    <w:lvl w:ilvl="0" w:tplc="8CDC3628">
      <w:start w:val="1"/>
      <w:numFmt w:val="bullet"/>
      <w:pStyle w:val="Pull-outBullets"/>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3038C8"/>
    <w:multiLevelType w:val="multilevel"/>
    <w:tmpl w:val="B0A2C476"/>
    <w:styleLink w:val="NumberedLists"/>
    <w:lvl w:ilvl="0">
      <w:start w:val="1"/>
      <w:numFmt w:val="decimal"/>
      <w:pStyle w:val="ListNumber"/>
      <w:lvlText w:val="%1."/>
      <w:lvlJc w:val="left"/>
      <w:pPr>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BC4AC1"/>
    <w:multiLevelType w:val="multilevel"/>
    <w:tmpl w:val="F29613D6"/>
    <w:styleLink w:val="Appendix"/>
    <w:lvl w:ilvl="0">
      <w:start w:val="1"/>
      <w:numFmt w:val="decimal"/>
      <w:pStyle w:val="AppendixTitle"/>
      <w:lvlText w:val="Appendix %1:"/>
      <w:lvlJc w:val="left"/>
      <w:pPr>
        <w:tabs>
          <w:tab w:val="num" w:pos="1985"/>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292670"/>
    <w:multiLevelType w:val="hybridMultilevel"/>
    <w:tmpl w:val="B636A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180432"/>
    <w:multiLevelType w:val="multilevel"/>
    <w:tmpl w:val="61C2EDDE"/>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8671B7"/>
    <w:multiLevelType w:val="multilevel"/>
    <w:tmpl w:val="B8B6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0033B"/>
    <w:multiLevelType w:val="hybridMultilevel"/>
    <w:tmpl w:val="272ACEE2"/>
    <w:lvl w:ilvl="0" w:tplc="4B1E21F8">
      <w:start w:val="1"/>
      <w:numFmt w:val="bullet"/>
      <w:lvlText w:val=""/>
      <w:lvlJc w:val="left"/>
      <w:pPr>
        <w:ind w:left="720" w:hanging="360"/>
      </w:pPr>
      <w:rPr>
        <w:rFonts w:ascii="Symbol" w:hAnsi="Symbol"/>
      </w:rPr>
    </w:lvl>
    <w:lvl w:ilvl="1" w:tplc="B21A17BC">
      <w:start w:val="1"/>
      <w:numFmt w:val="bullet"/>
      <w:lvlText w:val=""/>
      <w:lvlJc w:val="left"/>
      <w:pPr>
        <w:ind w:left="720" w:hanging="360"/>
      </w:pPr>
      <w:rPr>
        <w:rFonts w:ascii="Symbol" w:hAnsi="Symbol"/>
      </w:rPr>
    </w:lvl>
    <w:lvl w:ilvl="2" w:tplc="0234DEFE">
      <w:start w:val="1"/>
      <w:numFmt w:val="bullet"/>
      <w:lvlText w:val=""/>
      <w:lvlJc w:val="left"/>
      <w:pPr>
        <w:ind w:left="720" w:hanging="360"/>
      </w:pPr>
      <w:rPr>
        <w:rFonts w:ascii="Symbol" w:hAnsi="Symbol"/>
      </w:rPr>
    </w:lvl>
    <w:lvl w:ilvl="3" w:tplc="363060E6">
      <w:start w:val="1"/>
      <w:numFmt w:val="bullet"/>
      <w:lvlText w:val=""/>
      <w:lvlJc w:val="left"/>
      <w:pPr>
        <w:ind w:left="720" w:hanging="360"/>
      </w:pPr>
      <w:rPr>
        <w:rFonts w:ascii="Symbol" w:hAnsi="Symbol"/>
      </w:rPr>
    </w:lvl>
    <w:lvl w:ilvl="4" w:tplc="E5D01FDA">
      <w:start w:val="1"/>
      <w:numFmt w:val="bullet"/>
      <w:lvlText w:val=""/>
      <w:lvlJc w:val="left"/>
      <w:pPr>
        <w:ind w:left="720" w:hanging="360"/>
      </w:pPr>
      <w:rPr>
        <w:rFonts w:ascii="Symbol" w:hAnsi="Symbol"/>
      </w:rPr>
    </w:lvl>
    <w:lvl w:ilvl="5" w:tplc="6BB0A0C0">
      <w:start w:val="1"/>
      <w:numFmt w:val="bullet"/>
      <w:lvlText w:val=""/>
      <w:lvlJc w:val="left"/>
      <w:pPr>
        <w:ind w:left="720" w:hanging="360"/>
      </w:pPr>
      <w:rPr>
        <w:rFonts w:ascii="Symbol" w:hAnsi="Symbol"/>
      </w:rPr>
    </w:lvl>
    <w:lvl w:ilvl="6" w:tplc="542E00C4">
      <w:start w:val="1"/>
      <w:numFmt w:val="bullet"/>
      <w:lvlText w:val=""/>
      <w:lvlJc w:val="left"/>
      <w:pPr>
        <w:ind w:left="720" w:hanging="360"/>
      </w:pPr>
      <w:rPr>
        <w:rFonts w:ascii="Symbol" w:hAnsi="Symbol"/>
      </w:rPr>
    </w:lvl>
    <w:lvl w:ilvl="7" w:tplc="E0B87696">
      <w:start w:val="1"/>
      <w:numFmt w:val="bullet"/>
      <w:lvlText w:val=""/>
      <w:lvlJc w:val="left"/>
      <w:pPr>
        <w:ind w:left="720" w:hanging="360"/>
      </w:pPr>
      <w:rPr>
        <w:rFonts w:ascii="Symbol" w:hAnsi="Symbol"/>
      </w:rPr>
    </w:lvl>
    <w:lvl w:ilvl="8" w:tplc="BB5AF5DA">
      <w:start w:val="1"/>
      <w:numFmt w:val="bullet"/>
      <w:lvlText w:val=""/>
      <w:lvlJc w:val="left"/>
      <w:pPr>
        <w:ind w:left="720" w:hanging="360"/>
      </w:pPr>
      <w:rPr>
        <w:rFonts w:ascii="Symbol" w:hAnsi="Symbol"/>
      </w:rPr>
    </w:lvl>
  </w:abstractNum>
  <w:abstractNum w:abstractNumId="17" w15:restartNumberingAfterBreak="0">
    <w:nsid w:val="31C92AC4"/>
    <w:multiLevelType w:val="hybridMultilevel"/>
    <w:tmpl w:val="A8928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F1D0F"/>
    <w:multiLevelType w:val="multilevel"/>
    <w:tmpl w:val="813A2DA6"/>
    <w:numStyleLink w:val="Bullets1"/>
  </w:abstractNum>
  <w:abstractNum w:abstractNumId="19" w15:restartNumberingAfterBreak="0">
    <w:nsid w:val="336268E0"/>
    <w:multiLevelType w:val="multilevel"/>
    <w:tmpl w:val="C62C2DAC"/>
    <w:numStyleLink w:val="NumberedHeadings"/>
  </w:abstractNum>
  <w:abstractNum w:abstractNumId="20" w15:restartNumberingAfterBreak="0">
    <w:nsid w:val="34991E09"/>
    <w:multiLevelType w:val="multilevel"/>
    <w:tmpl w:val="C62C2DAC"/>
    <w:styleLink w:val="NumberedHeadings"/>
    <w:lvl w:ilvl="0">
      <w:start w:val="1"/>
      <w:numFmt w:val="decimal"/>
      <w:pStyle w:val="NumberedHeading1"/>
      <w:lvlText w:val="%1."/>
      <w:lvlJc w:val="left"/>
      <w:pPr>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Heading3"/>
      <w:lvlText w:val="%1.%2.%3."/>
      <w:lvlJc w:val="left"/>
      <w:pPr>
        <w:ind w:left="1021" w:hanging="102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C474E9"/>
    <w:multiLevelType w:val="hybridMultilevel"/>
    <w:tmpl w:val="DB2A72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91B77EC"/>
    <w:multiLevelType w:val="multilevel"/>
    <w:tmpl w:val="B0A2C476"/>
    <w:numStyleLink w:val="NumberedLists"/>
  </w:abstractNum>
  <w:abstractNum w:abstractNumId="23" w15:restartNumberingAfterBreak="0">
    <w:nsid w:val="397D293F"/>
    <w:multiLevelType w:val="multilevel"/>
    <w:tmpl w:val="F29613D6"/>
    <w:numStyleLink w:val="Appendix"/>
  </w:abstractNum>
  <w:abstractNum w:abstractNumId="24" w15:restartNumberingAfterBreak="0">
    <w:nsid w:val="3A0056B5"/>
    <w:multiLevelType w:val="multilevel"/>
    <w:tmpl w:val="F29613D6"/>
    <w:numStyleLink w:val="Appendix"/>
  </w:abstractNum>
  <w:abstractNum w:abstractNumId="25" w15:restartNumberingAfterBreak="0">
    <w:nsid w:val="3D6046CD"/>
    <w:multiLevelType w:val="multilevel"/>
    <w:tmpl w:val="7C3460B6"/>
    <w:numStyleLink w:val="Bullets"/>
  </w:abstractNum>
  <w:abstractNum w:abstractNumId="26" w15:restartNumberingAfterBreak="0">
    <w:nsid w:val="3E917C2E"/>
    <w:multiLevelType w:val="multilevel"/>
    <w:tmpl w:val="B0A2C476"/>
    <w:numStyleLink w:val="NumberedLists"/>
  </w:abstractNum>
  <w:abstractNum w:abstractNumId="27" w15:restartNumberingAfterBreak="0">
    <w:nsid w:val="3EAA4650"/>
    <w:multiLevelType w:val="hybridMultilevel"/>
    <w:tmpl w:val="38DCA24E"/>
    <w:lvl w:ilvl="0" w:tplc="1FFA01EE">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28" w15:restartNumberingAfterBreak="0">
    <w:nsid w:val="443D0CBD"/>
    <w:multiLevelType w:val="multilevel"/>
    <w:tmpl w:val="F29613D6"/>
    <w:numStyleLink w:val="Appendix"/>
  </w:abstractNum>
  <w:abstractNum w:abstractNumId="29" w15:restartNumberingAfterBreak="0">
    <w:nsid w:val="45A34C85"/>
    <w:multiLevelType w:val="multilevel"/>
    <w:tmpl w:val="F29613D6"/>
    <w:numStyleLink w:val="Appendix"/>
  </w:abstractNum>
  <w:abstractNum w:abstractNumId="30" w15:restartNumberingAfterBreak="0">
    <w:nsid w:val="47D75995"/>
    <w:multiLevelType w:val="multilevel"/>
    <w:tmpl w:val="C62C2DAC"/>
    <w:numStyleLink w:val="NumberedHeadings"/>
  </w:abstractNum>
  <w:abstractNum w:abstractNumId="31" w15:restartNumberingAfterBreak="0">
    <w:nsid w:val="499D423A"/>
    <w:multiLevelType w:val="multilevel"/>
    <w:tmpl w:val="7C3460B6"/>
    <w:styleLink w:val="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Calibri" w:hAnsi="Calibri" w:hint="default"/>
      </w:rPr>
    </w:lvl>
    <w:lvl w:ilvl="2">
      <w:start w:val="1"/>
      <w:numFmt w:val="bullet"/>
      <w:pStyle w:val="ListBullet3"/>
      <w:lvlText w:val=""/>
      <w:lvlJc w:val="left"/>
      <w:pPr>
        <w:ind w:left="1021" w:hanging="341"/>
      </w:pPr>
      <w:rPr>
        <w:rFonts w:ascii="Symbol" w:hAnsi="Symbol" w:hint="default"/>
      </w:rPr>
    </w:lvl>
    <w:lvl w:ilvl="3">
      <w:start w:val="1"/>
      <w:numFmt w:val="bullet"/>
      <w:pStyle w:val="ListBullet4"/>
      <w:lvlText w:val="–"/>
      <w:lvlJc w:val="left"/>
      <w:pPr>
        <w:ind w:left="1361" w:hanging="340"/>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FE2AA1"/>
    <w:multiLevelType w:val="hybridMultilevel"/>
    <w:tmpl w:val="2DCC7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725741"/>
    <w:multiLevelType w:val="multilevel"/>
    <w:tmpl w:val="1A06A688"/>
    <w:styleLink w:val="ListLetters"/>
    <w:lvl w:ilvl="0">
      <w:start w:val="1"/>
      <w:numFmt w:val="lowerLetter"/>
      <w:lvlText w:val="%1."/>
      <w:lvlJc w:val="left"/>
      <w:pPr>
        <w:ind w:left="340" w:hanging="340"/>
      </w:pPr>
      <w:rPr>
        <w:rFonts w:hint="default"/>
      </w:rPr>
    </w:lvl>
    <w:lvl w:ilvl="1">
      <w:start w:val="1"/>
      <w:numFmt w:val="lowerRoman"/>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7245AD3"/>
    <w:multiLevelType w:val="multilevel"/>
    <w:tmpl w:val="813A2DA6"/>
    <w:lvl w:ilvl="0">
      <w:start w:val="1"/>
      <w:numFmt w:val="bullet"/>
      <w:lvlText w:val=""/>
      <w:lvlJc w:val="left"/>
      <w:pPr>
        <w:ind w:left="284" w:hanging="284"/>
      </w:pPr>
      <w:rPr>
        <w:rFonts w:ascii="Symbol" w:hAnsi="Symbol" w:cs="Times New Roman" w:hint="default"/>
        <w:color w:val="auto"/>
      </w:rPr>
    </w:lvl>
    <w:lvl w:ilvl="1">
      <w:start w:val="1"/>
      <w:numFmt w:val="bullet"/>
      <w:lvlText w:val="–"/>
      <w:lvlJc w:val="left"/>
      <w:pPr>
        <w:ind w:left="567" w:hanging="283"/>
      </w:pPr>
      <w:rPr>
        <w:rFonts w:ascii="Arial" w:hAnsi="Arial"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ind w:left="284" w:hanging="284"/>
      </w:pPr>
      <w:rPr>
        <w:rFonts w:ascii="Arial" w:hAnsi="Arial" w:cs="Times New Roman" w:hint="default"/>
      </w:rPr>
    </w:lvl>
    <w:lvl w:ilvl="4">
      <w:start w:val="1"/>
      <w:numFmt w:val="bullet"/>
      <w:lvlText w:val="–"/>
      <w:lvlJc w:val="left"/>
      <w:pPr>
        <w:ind w:left="284" w:hanging="284"/>
      </w:pPr>
      <w:rPr>
        <w:rFonts w:ascii="Calibri" w:hAnsi="Calibri" w:cs="Times New Roman" w:hint="default"/>
        <w:color w:val="auto"/>
      </w:rPr>
    </w:lvl>
    <w:lvl w:ilvl="5">
      <w:start w:val="1"/>
      <w:numFmt w:val="bullet"/>
      <w:lvlText w:val="–"/>
      <w:lvlJc w:val="left"/>
      <w:pPr>
        <w:ind w:left="284" w:hanging="284"/>
      </w:pPr>
      <w:rPr>
        <w:rFonts w:ascii="Calibri" w:hAnsi="Calibri" w:cs="Times New Roman" w:hint="default"/>
        <w:color w:val="auto"/>
      </w:rPr>
    </w:lvl>
    <w:lvl w:ilvl="6">
      <w:start w:val="1"/>
      <w:numFmt w:val="bullet"/>
      <w:lvlText w:val="–"/>
      <w:lvlJc w:val="left"/>
      <w:pPr>
        <w:ind w:left="284" w:hanging="284"/>
      </w:pPr>
      <w:rPr>
        <w:rFonts w:ascii="Calibri" w:hAnsi="Calibri" w:cs="Times New Roman" w:hint="default"/>
        <w:color w:val="auto"/>
      </w:rPr>
    </w:lvl>
    <w:lvl w:ilvl="7">
      <w:start w:val="1"/>
      <w:numFmt w:val="bullet"/>
      <w:lvlText w:val="–"/>
      <w:lvlJc w:val="left"/>
      <w:pPr>
        <w:ind w:left="284" w:hanging="284"/>
      </w:pPr>
      <w:rPr>
        <w:rFonts w:ascii="Calibri" w:hAnsi="Calibri" w:cs="Times New Roman" w:hint="default"/>
        <w:color w:val="auto"/>
      </w:rPr>
    </w:lvl>
    <w:lvl w:ilvl="8">
      <w:start w:val="1"/>
      <w:numFmt w:val="bullet"/>
      <w:lvlText w:val="–"/>
      <w:lvlJc w:val="left"/>
      <w:pPr>
        <w:ind w:left="284" w:hanging="284"/>
      </w:pPr>
      <w:rPr>
        <w:rFonts w:ascii="Calibri" w:hAnsi="Calibri" w:cs="Times New Roman" w:hint="default"/>
        <w:color w:val="auto"/>
      </w:rPr>
    </w:lvl>
  </w:abstractNum>
  <w:abstractNum w:abstractNumId="35" w15:restartNumberingAfterBreak="0">
    <w:nsid w:val="57BF7F6D"/>
    <w:multiLevelType w:val="hybridMultilevel"/>
    <w:tmpl w:val="7A4E6A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0E4FCC"/>
    <w:multiLevelType w:val="hybridMultilevel"/>
    <w:tmpl w:val="DC069348"/>
    <w:lvl w:ilvl="0" w:tplc="126C232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143293"/>
    <w:multiLevelType w:val="multilevel"/>
    <w:tmpl w:val="7C3460B6"/>
    <w:numStyleLink w:val="Bullets"/>
  </w:abstractNum>
  <w:abstractNum w:abstractNumId="38" w15:restartNumberingAfterBreak="0">
    <w:nsid w:val="5DDB678A"/>
    <w:multiLevelType w:val="multilevel"/>
    <w:tmpl w:val="F29613D6"/>
    <w:numStyleLink w:val="Appendix"/>
  </w:abstractNum>
  <w:abstractNum w:abstractNumId="39" w15:restartNumberingAfterBreak="0">
    <w:nsid w:val="60E1502C"/>
    <w:multiLevelType w:val="multilevel"/>
    <w:tmpl w:val="813A2DA6"/>
    <w:styleLink w:val="Bullets1"/>
    <w:lvl w:ilvl="0">
      <w:start w:val="1"/>
      <w:numFmt w:val="bullet"/>
      <w:lvlText w:val=""/>
      <w:lvlJc w:val="left"/>
      <w:pPr>
        <w:ind w:left="284" w:hanging="284"/>
      </w:pPr>
      <w:rPr>
        <w:rFonts w:ascii="Symbol" w:hAnsi="Symbol" w:cs="Times New Roman" w:hint="default"/>
        <w:color w:val="auto"/>
      </w:rPr>
    </w:lvl>
    <w:lvl w:ilvl="1">
      <w:start w:val="1"/>
      <w:numFmt w:val="bullet"/>
      <w:lvlText w:val="–"/>
      <w:lvlJc w:val="left"/>
      <w:pPr>
        <w:ind w:left="567" w:hanging="283"/>
      </w:pPr>
      <w:rPr>
        <w:rFonts w:ascii="Arial" w:hAnsi="Arial"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ind w:left="284" w:hanging="284"/>
      </w:pPr>
      <w:rPr>
        <w:rFonts w:ascii="Arial" w:hAnsi="Arial" w:cs="Times New Roman" w:hint="default"/>
      </w:rPr>
    </w:lvl>
    <w:lvl w:ilvl="4">
      <w:start w:val="1"/>
      <w:numFmt w:val="bullet"/>
      <w:lvlText w:val="–"/>
      <w:lvlJc w:val="left"/>
      <w:pPr>
        <w:ind w:left="284" w:hanging="284"/>
      </w:pPr>
      <w:rPr>
        <w:rFonts w:ascii="Calibri" w:hAnsi="Calibri" w:cs="Times New Roman" w:hint="default"/>
        <w:color w:val="auto"/>
      </w:rPr>
    </w:lvl>
    <w:lvl w:ilvl="5">
      <w:start w:val="1"/>
      <w:numFmt w:val="bullet"/>
      <w:lvlText w:val="–"/>
      <w:lvlJc w:val="left"/>
      <w:pPr>
        <w:ind w:left="284" w:hanging="284"/>
      </w:pPr>
      <w:rPr>
        <w:rFonts w:ascii="Calibri" w:hAnsi="Calibri" w:cs="Times New Roman" w:hint="default"/>
        <w:color w:val="auto"/>
      </w:rPr>
    </w:lvl>
    <w:lvl w:ilvl="6">
      <w:start w:val="1"/>
      <w:numFmt w:val="bullet"/>
      <w:lvlText w:val="–"/>
      <w:lvlJc w:val="left"/>
      <w:pPr>
        <w:ind w:left="284" w:hanging="284"/>
      </w:pPr>
      <w:rPr>
        <w:rFonts w:ascii="Calibri" w:hAnsi="Calibri" w:cs="Times New Roman" w:hint="default"/>
        <w:color w:val="auto"/>
      </w:rPr>
    </w:lvl>
    <w:lvl w:ilvl="7">
      <w:start w:val="1"/>
      <w:numFmt w:val="bullet"/>
      <w:lvlText w:val="–"/>
      <w:lvlJc w:val="left"/>
      <w:pPr>
        <w:ind w:left="284" w:hanging="284"/>
      </w:pPr>
      <w:rPr>
        <w:rFonts w:ascii="Calibri" w:hAnsi="Calibri" w:cs="Times New Roman" w:hint="default"/>
        <w:color w:val="auto"/>
      </w:rPr>
    </w:lvl>
    <w:lvl w:ilvl="8">
      <w:start w:val="1"/>
      <w:numFmt w:val="bullet"/>
      <w:lvlText w:val="–"/>
      <w:lvlJc w:val="left"/>
      <w:pPr>
        <w:ind w:left="284" w:hanging="284"/>
      </w:pPr>
      <w:rPr>
        <w:rFonts w:ascii="Calibri" w:hAnsi="Calibri" w:cs="Times New Roman" w:hint="default"/>
        <w:color w:val="auto"/>
      </w:rPr>
    </w:lvl>
  </w:abstractNum>
  <w:abstractNum w:abstractNumId="40" w15:restartNumberingAfterBreak="0">
    <w:nsid w:val="71E64B3C"/>
    <w:multiLevelType w:val="hybridMultilevel"/>
    <w:tmpl w:val="9E8CD98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D17C75"/>
    <w:multiLevelType w:val="multilevel"/>
    <w:tmpl w:val="F29613D6"/>
    <w:numStyleLink w:val="Appendix"/>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28"/>
  </w:num>
  <w:num w:numId="20">
    <w:abstractNumId w:val="14"/>
  </w:num>
  <w:num w:numId="21">
    <w:abstractNumId w:val="38"/>
    <w:lvlOverride w:ilvl="0">
      <w:lvl w:ilvl="0">
        <w:start w:val="1"/>
        <w:numFmt w:val="decimal"/>
        <w:lvlText w:val="Appendix %1:"/>
        <w:lvlJc w:val="left"/>
        <w:pPr>
          <w:tabs>
            <w:tab w:val="num" w:pos="3119"/>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abstractNumId w:val="38"/>
    <w:lvlOverride w:ilvl="0">
      <w:lvl w:ilvl="0">
        <w:start w:val="1"/>
        <w:numFmt w:val="decimal"/>
        <w:lvlText w:val="Appendix %1:"/>
        <w:lvlJc w:val="left"/>
        <w:pPr>
          <w:tabs>
            <w:tab w:val="num" w:pos="3119"/>
          </w:tabs>
          <w:ind w:left="0" w:firstLine="0"/>
        </w:pPr>
        <w:rPr>
          <w:rFonts w:hint="default"/>
        </w:rPr>
      </w:lvl>
    </w:lvlOverride>
  </w:num>
  <w:num w:numId="23">
    <w:abstractNumId w:val="33"/>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1"/>
  </w:num>
  <w:num w:numId="27">
    <w:abstractNumId w:val="23"/>
  </w:num>
  <w:num w:numId="28">
    <w:abstractNumId w:val="29"/>
  </w:num>
  <w:num w:numId="29">
    <w:abstractNumId w:val="24"/>
  </w:num>
  <w:num w:numId="30">
    <w:abstractNumId w:val="39"/>
  </w:num>
  <w:num w:numId="31">
    <w:abstractNumId w:val="18"/>
  </w:num>
  <w:num w:numId="32">
    <w:abstractNumId w:val="34"/>
  </w:num>
  <w:num w:numId="33">
    <w:abstractNumId w:val="27"/>
  </w:num>
  <w:num w:numId="34">
    <w:abstractNumId w:val="25"/>
  </w:num>
  <w:num w:numId="35">
    <w:abstractNumId w:val="26"/>
  </w:num>
  <w:num w:numId="36">
    <w:abstractNumId w:val="30"/>
  </w:num>
  <w:num w:numId="37">
    <w:abstractNumId w:val="19"/>
  </w:num>
  <w:num w:numId="38">
    <w:abstractNumId w:val="37"/>
  </w:num>
  <w:num w:numId="39">
    <w:abstractNumId w:val="22"/>
  </w:num>
  <w:num w:numId="40">
    <w:abstractNumId w:val="40"/>
  </w:num>
  <w:num w:numId="41">
    <w:abstractNumId w:val="35"/>
  </w:num>
  <w:num w:numId="42">
    <w:abstractNumId w:val="13"/>
  </w:num>
  <w:num w:numId="43">
    <w:abstractNumId w:val="15"/>
  </w:num>
  <w:num w:numId="44">
    <w:abstractNumId w:val="16"/>
  </w:num>
  <w:num w:numId="45">
    <w:abstractNumId w:val="32"/>
  </w:num>
  <w:num w:numId="46">
    <w:abstractNumId w:val="17"/>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1A"/>
    <w:rsid w:val="000002C0"/>
    <w:rsid w:val="00001A02"/>
    <w:rsid w:val="00002708"/>
    <w:rsid w:val="00002D9F"/>
    <w:rsid w:val="00005CA8"/>
    <w:rsid w:val="00007D6E"/>
    <w:rsid w:val="00010E82"/>
    <w:rsid w:val="00020746"/>
    <w:rsid w:val="000258A1"/>
    <w:rsid w:val="00031400"/>
    <w:rsid w:val="00036F3A"/>
    <w:rsid w:val="00040BDE"/>
    <w:rsid w:val="00041994"/>
    <w:rsid w:val="00041E37"/>
    <w:rsid w:val="00044C3F"/>
    <w:rsid w:val="00051687"/>
    <w:rsid w:val="00054259"/>
    <w:rsid w:val="000544F2"/>
    <w:rsid w:val="00063672"/>
    <w:rsid w:val="000672D1"/>
    <w:rsid w:val="000678E2"/>
    <w:rsid w:val="00074A6B"/>
    <w:rsid w:val="00075BA4"/>
    <w:rsid w:val="00083906"/>
    <w:rsid w:val="00090C04"/>
    <w:rsid w:val="000942CC"/>
    <w:rsid w:val="00096CAA"/>
    <w:rsid w:val="000A1E69"/>
    <w:rsid w:val="000A242B"/>
    <w:rsid w:val="000A3C76"/>
    <w:rsid w:val="000B55AD"/>
    <w:rsid w:val="000B6ACA"/>
    <w:rsid w:val="000B6BC3"/>
    <w:rsid w:val="000C2BF0"/>
    <w:rsid w:val="000C4BFC"/>
    <w:rsid w:val="000C59C1"/>
    <w:rsid w:val="000C5CB7"/>
    <w:rsid w:val="000D72C5"/>
    <w:rsid w:val="000E5133"/>
    <w:rsid w:val="000E71C7"/>
    <w:rsid w:val="000E78EF"/>
    <w:rsid w:val="000E7B5D"/>
    <w:rsid w:val="000E7BB5"/>
    <w:rsid w:val="00103369"/>
    <w:rsid w:val="001108AF"/>
    <w:rsid w:val="00114425"/>
    <w:rsid w:val="0011623B"/>
    <w:rsid w:val="0011751C"/>
    <w:rsid w:val="001207D8"/>
    <w:rsid w:val="00125091"/>
    <w:rsid w:val="00127668"/>
    <w:rsid w:val="00127916"/>
    <w:rsid w:val="00132AD7"/>
    <w:rsid w:val="00132AE0"/>
    <w:rsid w:val="00135167"/>
    <w:rsid w:val="001364F6"/>
    <w:rsid w:val="0014113B"/>
    <w:rsid w:val="001434DA"/>
    <w:rsid w:val="001441CB"/>
    <w:rsid w:val="00150064"/>
    <w:rsid w:val="00150370"/>
    <w:rsid w:val="00153C26"/>
    <w:rsid w:val="001545D8"/>
    <w:rsid w:val="0015697F"/>
    <w:rsid w:val="001661BD"/>
    <w:rsid w:val="00166493"/>
    <w:rsid w:val="00166915"/>
    <w:rsid w:val="0016739E"/>
    <w:rsid w:val="00167BB8"/>
    <w:rsid w:val="00174FCE"/>
    <w:rsid w:val="001759C4"/>
    <w:rsid w:val="0017716C"/>
    <w:rsid w:val="00181499"/>
    <w:rsid w:val="001820FA"/>
    <w:rsid w:val="001835DE"/>
    <w:rsid w:val="00184191"/>
    <w:rsid w:val="0018540E"/>
    <w:rsid w:val="00187983"/>
    <w:rsid w:val="00190DF6"/>
    <w:rsid w:val="00192F28"/>
    <w:rsid w:val="0019394B"/>
    <w:rsid w:val="00196B63"/>
    <w:rsid w:val="001A0D77"/>
    <w:rsid w:val="001A1790"/>
    <w:rsid w:val="001A356C"/>
    <w:rsid w:val="001B1C68"/>
    <w:rsid w:val="001B1E2B"/>
    <w:rsid w:val="001B58EF"/>
    <w:rsid w:val="001C2800"/>
    <w:rsid w:val="001C2FD0"/>
    <w:rsid w:val="001C31EF"/>
    <w:rsid w:val="001D0D30"/>
    <w:rsid w:val="001D2622"/>
    <w:rsid w:val="001D504E"/>
    <w:rsid w:val="001D776D"/>
    <w:rsid w:val="001E25D2"/>
    <w:rsid w:val="001E69F0"/>
    <w:rsid w:val="001F146B"/>
    <w:rsid w:val="001F17B5"/>
    <w:rsid w:val="001F446D"/>
    <w:rsid w:val="001F6568"/>
    <w:rsid w:val="00200169"/>
    <w:rsid w:val="00200F4D"/>
    <w:rsid w:val="002027F3"/>
    <w:rsid w:val="0020431F"/>
    <w:rsid w:val="00206830"/>
    <w:rsid w:val="00213443"/>
    <w:rsid w:val="0021621D"/>
    <w:rsid w:val="00216C19"/>
    <w:rsid w:val="0021758B"/>
    <w:rsid w:val="00221BAC"/>
    <w:rsid w:val="0022607F"/>
    <w:rsid w:val="00226999"/>
    <w:rsid w:val="00230BE1"/>
    <w:rsid w:val="00233CD6"/>
    <w:rsid w:val="002409F5"/>
    <w:rsid w:val="00246067"/>
    <w:rsid w:val="00251762"/>
    <w:rsid w:val="00252BF0"/>
    <w:rsid w:val="00260B9E"/>
    <w:rsid w:val="00262225"/>
    <w:rsid w:val="00266057"/>
    <w:rsid w:val="0026612C"/>
    <w:rsid w:val="0026614C"/>
    <w:rsid w:val="00266DD0"/>
    <w:rsid w:val="002701F1"/>
    <w:rsid w:val="002729EB"/>
    <w:rsid w:val="00275C64"/>
    <w:rsid w:val="002801FE"/>
    <w:rsid w:val="00282430"/>
    <w:rsid w:val="0028576A"/>
    <w:rsid w:val="002867B2"/>
    <w:rsid w:val="0028712A"/>
    <w:rsid w:val="00287AF9"/>
    <w:rsid w:val="002959DF"/>
    <w:rsid w:val="00295FF9"/>
    <w:rsid w:val="002A16D5"/>
    <w:rsid w:val="002A3310"/>
    <w:rsid w:val="002A3C25"/>
    <w:rsid w:val="002A5496"/>
    <w:rsid w:val="002A5AFF"/>
    <w:rsid w:val="002A6F51"/>
    <w:rsid w:val="002B2D3B"/>
    <w:rsid w:val="002B2F71"/>
    <w:rsid w:val="002B5BE1"/>
    <w:rsid w:val="002B5C12"/>
    <w:rsid w:val="002B5CA7"/>
    <w:rsid w:val="002C3213"/>
    <w:rsid w:val="002C6CDD"/>
    <w:rsid w:val="002D21BE"/>
    <w:rsid w:val="002D47B8"/>
    <w:rsid w:val="002D4A7B"/>
    <w:rsid w:val="002D4EA7"/>
    <w:rsid w:val="002D764D"/>
    <w:rsid w:val="002E1C39"/>
    <w:rsid w:val="002E397B"/>
    <w:rsid w:val="002E4135"/>
    <w:rsid w:val="002E56C2"/>
    <w:rsid w:val="002E6D45"/>
    <w:rsid w:val="002F239E"/>
    <w:rsid w:val="002F5453"/>
    <w:rsid w:val="002F55B3"/>
    <w:rsid w:val="00304881"/>
    <w:rsid w:val="00305496"/>
    <w:rsid w:val="003060A0"/>
    <w:rsid w:val="00311DF7"/>
    <w:rsid w:val="00314BA9"/>
    <w:rsid w:val="00314CBF"/>
    <w:rsid w:val="003267C7"/>
    <w:rsid w:val="00332A8A"/>
    <w:rsid w:val="003369D6"/>
    <w:rsid w:val="00340AA0"/>
    <w:rsid w:val="00342318"/>
    <w:rsid w:val="0034680A"/>
    <w:rsid w:val="00351B4F"/>
    <w:rsid w:val="003545E3"/>
    <w:rsid w:val="003635D7"/>
    <w:rsid w:val="00364ACD"/>
    <w:rsid w:val="00367246"/>
    <w:rsid w:val="00374FE2"/>
    <w:rsid w:val="00375595"/>
    <w:rsid w:val="0037721D"/>
    <w:rsid w:val="0038160C"/>
    <w:rsid w:val="00383147"/>
    <w:rsid w:val="00390CDF"/>
    <w:rsid w:val="003926DA"/>
    <w:rsid w:val="0039330F"/>
    <w:rsid w:val="00394AE5"/>
    <w:rsid w:val="0039589C"/>
    <w:rsid w:val="003A2439"/>
    <w:rsid w:val="003A782D"/>
    <w:rsid w:val="003B0D37"/>
    <w:rsid w:val="003B2366"/>
    <w:rsid w:val="003B2820"/>
    <w:rsid w:val="003C24A8"/>
    <w:rsid w:val="003C4ACC"/>
    <w:rsid w:val="003C64B8"/>
    <w:rsid w:val="003D23A3"/>
    <w:rsid w:val="003D4112"/>
    <w:rsid w:val="003D5856"/>
    <w:rsid w:val="003D6362"/>
    <w:rsid w:val="003E3F02"/>
    <w:rsid w:val="003E5BE9"/>
    <w:rsid w:val="003F1B95"/>
    <w:rsid w:val="003F3145"/>
    <w:rsid w:val="003F5278"/>
    <w:rsid w:val="003F7317"/>
    <w:rsid w:val="00401E3C"/>
    <w:rsid w:val="00402CD9"/>
    <w:rsid w:val="00403019"/>
    <w:rsid w:val="004037C7"/>
    <w:rsid w:val="004044E2"/>
    <w:rsid w:val="00407A28"/>
    <w:rsid w:val="0041340E"/>
    <w:rsid w:val="00413F0F"/>
    <w:rsid w:val="00421601"/>
    <w:rsid w:val="00431D8D"/>
    <w:rsid w:val="00432090"/>
    <w:rsid w:val="00433178"/>
    <w:rsid w:val="0043400B"/>
    <w:rsid w:val="00444830"/>
    <w:rsid w:val="0045549C"/>
    <w:rsid w:val="0046337B"/>
    <w:rsid w:val="004714F0"/>
    <w:rsid w:val="00472172"/>
    <w:rsid w:val="00472A05"/>
    <w:rsid w:val="00473F1B"/>
    <w:rsid w:val="0047453C"/>
    <w:rsid w:val="0047522F"/>
    <w:rsid w:val="0048318E"/>
    <w:rsid w:val="004901AD"/>
    <w:rsid w:val="0049359F"/>
    <w:rsid w:val="004A0DCA"/>
    <w:rsid w:val="004A212A"/>
    <w:rsid w:val="004A2C87"/>
    <w:rsid w:val="004A6821"/>
    <w:rsid w:val="004B0A52"/>
    <w:rsid w:val="004B0D99"/>
    <w:rsid w:val="004B53C9"/>
    <w:rsid w:val="004B73F7"/>
    <w:rsid w:val="004C02AD"/>
    <w:rsid w:val="004C14FB"/>
    <w:rsid w:val="004C16F2"/>
    <w:rsid w:val="004C1E7E"/>
    <w:rsid w:val="004C730A"/>
    <w:rsid w:val="004E1576"/>
    <w:rsid w:val="004E17FC"/>
    <w:rsid w:val="004E206B"/>
    <w:rsid w:val="004E28C6"/>
    <w:rsid w:val="004E617C"/>
    <w:rsid w:val="004F0727"/>
    <w:rsid w:val="004F138F"/>
    <w:rsid w:val="004F282E"/>
    <w:rsid w:val="004F3CA7"/>
    <w:rsid w:val="004F6B4D"/>
    <w:rsid w:val="00500511"/>
    <w:rsid w:val="00500FA7"/>
    <w:rsid w:val="00504C94"/>
    <w:rsid w:val="005067B5"/>
    <w:rsid w:val="00514A49"/>
    <w:rsid w:val="00521218"/>
    <w:rsid w:val="00521971"/>
    <w:rsid w:val="00523E60"/>
    <w:rsid w:val="005266CC"/>
    <w:rsid w:val="00526814"/>
    <w:rsid w:val="00527905"/>
    <w:rsid w:val="0053181A"/>
    <w:rsid w:val="00532A2E"/>
    <w:rsid w:val="0053346A"/>
    <w:rsid w:val="00533499"/>
    <w:rsid w:val="005343BB"/>
    <w:rsid w:val="00542DE6"/>
    <w:rsid w:val="005430BF"/>
    <w:rsid w:val="0054317F"/>
    <w:rsid w:val="005439F9"/>
    <w:rsid w:val="00547FE5"/>
    <w:rsid w:val="0056335B"/>
    <w:rsid w:val="00570967"/>
    <w:rsid w:val="00570C0E"/>
    <w:rsid w:val="00572191"/>
    <w:rsid w:val="00576728"/>
    <w:rsid w:val="005812CA"/>
    <w:rsid w:val="0058369E"/>
    <w:rsid w:val="00590E1B"/>
    <w:rsid w:val="00596E05"/>
    <w:rsid w:val="005A3631"/>
    <w:rsid w:val="005A3C8F"/>
    <w:rsid w:val="005A72CA"/>
    <w:rsid w:val="005B0078"/>
    <w:rsid w:val="005B00AD"/>
    <w:rsid w:val="005B1E31"/>
    <w:rsid w:val="005B2E59"/>
    <w:rsid w:val="005B3DF3"/>
    <w:rsid w:val="005C0356"/>
    <w:rsid w:val="005C1799"/>
    <w:rsid w:val="005C19D4"/>
    <w:rsid w:val="005D48B1"/>
    <w:rsid w:val="005D4D51"/>
    <w:rsid w:val="005D6DE1"/>
    <w:rsid w:val="005D6E2A"/>
    <w:rsid w:val="005E2554"/>
    <w:rsid w:val="005E6736"/>
    <w:rsid w:val="005E6FC7"/>
    <w:rsid w:val="005F0800"/>
    <w:rsid w:val="005F098B"/>
    <w:rsid w:val="005F2B98"/>
    <w:rsid w:val="005F2E9B"/>
    <w:rsid w:val="005F320B"/>
    <w:rsid w:val="005F5162"/>
    <w:rsid w:val="005F6500"/>
    <w:rsid w:val="00600EF0"/>
    <w:rsid w:val="00601261"/>
    <w:rsid w:val="006013EE"/>
    <w:rsid w:val="00601E2F"/>
    <w:rsid w:val="00612127"/>
    <w:rsid w:val="00612B67"/>
    <w:rsid w:val="0061355B"/>
    <w:rsid w:val="00624D58"/>
    <w:rsid w:val="006261A9"/>
    <w:rsid w:val="0062672D"/>
    <w:rsid w:val="00626891"/>
    <w:rsid w:val="006342D8"/>
    <w:rsid w:val="00635D69"/>
    <w:rsid w:val="0064308C"/>
    <w:rsid w:val="006501D6"/>
    <w:rsid w:val="00650D02"/>
    <w:rsid w:val="006511F8"/>
    <w:rsid w:val="00651ADF"/>
    <w:rsid w:val="00652ACB"/>
    <w:rsid w:val="00657EAB"/>
    <w:rsid w:val="00661FEC"/>
    <w:rsid w:val="0066285E"/>
    <w:rsid w:val="0067266C"/>
    <w:rsid w:val="00674C59"/>
    <w:rsid w:val="00675B51"/>
    <w:rsid w:val="006776B2"/>
    <w:rsid w:val="006856B8"/>
    <w:rsid w:val="00686B3E"/>
    <w:rsid w:val="00690915"/>
    <w:rsid w:val="00690FBF"/>
    <w:rsid w:val="00695166"/>
    <w:rsid w:val="00695E84"/>
    <w:rsid w:val="00697510"/>
    <w:rsid w:val="006A0BD8"/>
    <w:rsid w:val="006A14C0"/>
    <w:rsid w:val="006A57A6"/>
    <w:rsid w:val="006A5A75"/>
    <w:rsid w:val="006A6E9B"/>
    <w:rsid w:val="006B0881"/>
    <w:rsid w:val="006C094C"/>
    <w:rsid w:val="006D2AD5"/>
    <w:rsid w:val="006D3878"/>
    <w:rsid w:val="006D39B0"/>
    <w:rsid w:val="006D3F2F"/>
    <w:rsid w:val="006D4546"/>
    <w:rsid w:val="006D6C3A"/>
    <w:rsid w:val="006E0941"/>
    <w:rsid w:val="006E3536"/>
    <w:rsid w:val="006E5D66"/>
    <w:rsid w:val="006E7CF5"/>
    <w:rsid w:val="006F1A86"/>
    <w:rsid w:val="006F1B83"/>
    <w:rsid w:val="006F3FE2"/>
    <w:rsid w:val="006F4437"/>
    <w:rsid w:val="00700E50"/>
    <w:rsid w:val="00701249"/>
    <w:rsid w:val="007016C2"/>
    <w:rsid w:val="0070216C"/>
    <w:rsid w:val="007030B4"/>
    <w:rsid w:val="00705E13"/>
    <w:rsid w:val="007074A1"/>
    <w:rsid w:val="00711D9F"/>
    <w:rsid w:val="007122E1"/>
    <w:rsid w:val="00713929"/>
    <w:rsid w:val="00714488"/>
    <w:rsid w:val="00716A86"/>
    <w:rsid w:val="0071790F"/>
    <w:rsid w:val="00725A23"/>
    <w:rsid w:val="00732758"/>
    <w:rsid w:val="0073500F"/>
    <w:rsid w:val="00736E73"/>
    <w:rsid w:val="00740D5F"/>
    <w:rsid w:val="00741D69"/>
    <w:rsid w:val="00744E62"/>
    <w:rsid w:val="00746B46"/>
    <w:rsid w:val="00752794"/>
    <w:rsid w:val="007534AF"/>
    <w:rsid w:val="00754259"/>
    <w:rsid w:val="00754E58"/>
    <w:rsid w:val="00756BCF"/>
    <w:rsid w:val="0075751C"/>
    <w:rsid w:val="00763D7F"/>
    <w:rsid w:val="00767520"/>
    <w:rsid w:val="00771BBD"/>
    <w:rsid w:val="007725AC"/>
    <w:rsid w:val="007739B0"/>
    <w:rsid w:val="00774E4C"/>
    <w:rsid w:val="00774F07"/>
    <w:rsid w:val="00780711"/>
    <w:rsid w:val="0078118F"/>
    <w:rsid w:val="00783CD0"/>
    <w:rsid w:val="007939D4"/>
    <w:rsid w:val="007970EE"/>
    <w:rsid w:val="007976A1"/>
    <w:rsid w:val="007A0419"/>
    <w:rsid w:val="007A3131"/>
    <w:rsid w:val="007A587C"/>
    <w:rsid w:val="007A58AA"/>
    <w:rsid w:val="007A6F2C"/>
    <w:rsid w:val="007A7058"/>
    <w:rsid w:val="007B0177"/>
    <w:rsid w:val="007B16EF"/>
    <w:rsid w:val="007B23C9"/>
    <w:rsid w:val="007B5B12"/>
    <w:rsid w:val="007B6F1C"/>
    <w:rsid w:val="007C0614"/>
    <w:rsid w:val="007C084E"/>
    <w:rsid w:val="007D029B"/>
    <w:rsid w:val="007D324D"/>
    <w:rsid w:val="007D39F4"/>
    <w:rsid w:val="007D410B"/>
    <w:rsid w:val="007E2103"/>
    <w:rsid w:val="007E3827"/>
    <w:rsid w:val="007E5C28"/>
    <w:rsid w:val="007E5E43"/>
    <w:rsid w:val="007E7288"/>
    <w:rsid w:val="007F1B2F"/>
    <w:rsid w:val="007F2C4F"/>
    <w:rsid w:val="007F33A8"/>
    <w:rsid w:val="007F4C4A"/>
    <w:rsid w:val="007F77C7"/>
    <w:rsid w:val="00804415"/>
    <w:rsid w:val="00804929"/>
    <w:rsid w:val="00804AA2"/>
    <w:rsid w:val="00806728"/>
    <w:rsid w:val="008129F0"/>
    <w:rsid w:val="008171EC"/>
    <w:rsid w:val="0081723A"/>
    <w:rsid w:val="00821B5E"/>
    <w:rsid w:val="00822608"/>
    <w:rsid w:val="00823C01"/>
    <w:rsid w:val="008260A8"/>
    <w:rsid w:val="0083003A"/>
    <w:rsid w:val="00830F2D"/>
    <w:rsid w:val="0083449B"/>
    <w:rsid w:val="008375A0"/>
    <w:rsid w:val="00837F62"/>
    <w:rsid w:val="00843D1C"/>
    <w:rsid w:val="00846BE9"/>
    <w:rsid w:val="0085498E"/>
    <w:rsid w:val="00855E6A"/>
    <w:rsid w:val="0086066A"/>
    <w:rsid w:val="00871B44"/>
    <w:rsid w:val="00877F79"/>
    <w:rsid w:val="00885343"/>
    <w:rsid w:val="008857F6"/>
    <w:rsid w:val="0088658B"/>
    <w:rsid w:val="008879CA"/>
    <w:rsid w:val="00891E57"/>
    <w:rsid w:val="008A21E9"/>
    <w:rsid w:val="008A24A5"/>
    <w:rsid w:val="008A6575"/>
    <w:rsid w:val="008A7979"/>
    <w:rsid w:val="008B0C23"/>
    <w:rsid w:val="008B2B4C"/>
    <w:rsid w:val="008B3494"/>
    <w:rsid w:val="008B4403"/>
    <w:rsid w:val="008B5C57"/>
    <w:rsid w:val="008B6345"/>
    <w:rsid w:val="008B66A2"/>
    <w:rsid w:val="008B708C"/>
    <w:rsid w:val="008B7404"/>
    <w:rsid w:val="008C042C"/>
    <w:rsid w:val="008C233A"/>
    <w:rsid w:val="008C2D5A"/>
    <w:rsid w:val="008C680B"/>
    <w:rsid w:val="008D1B8D"/>
    <w:rsid w:val="008D3A23"/>
    <w:rsid w:val="008D4AAA"/>
    <w:rsid w:val="008D5309"/>
    <w:rsid w:val="008E0745"/>
    <w:rsid w:val="008E2E59"/>
    <w:rsid w:val="008E38DF"/>
    <w:rsid w:val="008E39D7"/>
    <w:rsid w:val="008E7510"/>
    <w:rsid w:val="008F4FDA"/>
    <w:rsid w:val="008F7707"/>
    <w:rsid w:val="0090275A"/>
    <w:rsid w:val="00902B4A"/>
    <w:rsid w:val="009120E1"/>
    <w:rsid w:val="00912F35"/>
    <w:rsid w:val="009226E2"/>
    <w:rsid w:val="00923B3B"/>
    <w:rsid w:val="00936068"/>
    <w:rsid w:val="00936A25"/>
    <w:rsid w:val="00936C7B"/>
    <w:rsid w:val="00937A52"/>
    <w:rsid w:val="009401CD"/>
    <w:rsid w:val="00940E14"/>
    <w:rsid w:val="00941935"/>
    <w:rsid w:val="00942478"/>
    <w:rsid w:val="0094325C"/>
    <w:rsid w:val="0094530D"/>
    <w:rsid w:val="00951472"/>
    <w:rsid w:val="00952425"/>
    <w:rsid w:val="00953DD2"/>
    <w:rsid w:val="00957DDD"/>
    <w:rsid w:val="009615D4"/>
    <w:rsid w:val="00961F3A"/>
    <w:rsid w:val="00964525"/>
    <w:rsid w:val="009648D5"/>
    <w:rsid w:val="00964976"/>
    <w:rsid w:val="00970D7B"/>
    <w:rsid w:val="009720BD"/>
    <w:rsid w:val="00972206"/>
    <w:rsid w:val="0097354E"/>
    <w:rsid w:val="0097572F"/>
    <w:rsid w:val="009800A7"/>
    <w:rsid w:val="00980743"/>
    <w:rsid w:val="009818DF"/>
    <w:rsid w:val="009821E6"/>
    <w:rsid w:val="009822C7"/>
    <w:rsid w:val="00983C60"/>
    <w:rsid w:val="0098505B"/>
    <w:rsid w:val="00986EBE"/>
    <w:rsid w:val="00990265"/>
    <w:rsid w:val="009917CD"/>
    <w:rsid w:val="00992332"/>
    <w:rsid w:val="00994243"/>
    <w:rsid w:val="00995FEA"/>
    <w:rsid w:val="009A2F17"/>
    <w:rsid w:val="009A317F"/>
    <w:rsid w:val="009B4720"/>
    <w:rsid w:val="009C05A3"/>
    <w:rsid w:val="009C0AA0"/>
    <w:rsid w:val="009C26DB"/>
    <w:rsid w:val="009C3564"/>
    <w:rsid w:val="009C47CC"/>
    <w:rsid w:val="009C495B"/>
    <w:rsid w:val="009C54C1"/>
    <w:rsid w:val="009D200D"/>
    <w:rsid w:val="009D3C7F"/>
    <w:rsid w:val="009D5023"/>
    <w:rsid w:val="009E00C1"/>
    <w:rsid w:val="009E1004"/>
    <w:rsid w:val="009E29FC"/>
    <w:rsid w:val="009E7861"/>
    <w:rsid w:val="00A01EC5"/>
    <w:rsid w:val="00A02E4C"/>
    <w:rsid w:val="00A03BF2"/>
    <w:rsid w:val="00A147CA"/>
    <w:rsid w:val="00A16A2F"/>
    <w:rsid w:val="00A20297"/>
    <w:rsid w:val="00A20776"/>
    <w:rsid w:val="00A213F3"/>
    <w:rsid w:val="00A24894"/>
    <w:rsid w:val="00A26543"/>
    <w:rsid w:val="00A30017"/>
    <w:rsid w:val="00A34C4A"/>
    <w:rsid w:val="00A35712"/>
    <w:rsid w:val="00A42D84"/>
    <w:rsid w:val="00A43D4F"/>
    <w:rsid w:val="00A45EEB"/>
    <w:rsid w:val="00A46737"/>
    <w:rsid w:val="00A47D57"/>
    <w:rsid w:val="00A52FC3"/>
    <w:rsid w:val="00A545FE"/>
    <w:rsid w:val="00A54A8F"/>
    <w:rsid w:val="00A659DB"/>
    <w:rsid w:val="00A70B59"/>
    <w:rsid w:val="00A74B21"/>
    <w:rsid w:val="00A7524D"/>
    <w:rsid w:val="00A76627"/>
    <w:rsid w:val="00A80437"/>
    <w:rsid w:val="00A812DC"/>
    <w:rsid w:val="00A818C3"/>
    <w:rsid w:val="00A849F9"/>
    <w:rsid w:val="00A863FC"/>
    <w:rsid w:val="00A910AF"/>
    <w:rsid w:val="00A92BF6"/>
    <w:rsid w:val="00A93C74"/>
    <w:rsid w:val="00A94A22"/>
    <w:rsid w:val="00A94B90"/>
    <w:rsid w:val="00A94FF9"/>
    <w:rsid w:val="00A9554C"/>
    <w:rsid w:val="00AA0088"/>
    <w:rsid w:val="00AA4637"/>
    <w:rsid w:val="00AA5831"/>
    <w:rsid w:val="00AA5BA6"/>
    <w:rsid w:val="00AA732C"/>
    <w:rsid w:val="00AB0678"/>
    <w:rsid w:val="00AC1293"/>
    <w:rsid w:val="00AC1AB5"/>
    <w:rsid w:val="00AC1C91"/>
    <w:rsid w:val="00AC34AD"/>
    <w:rsid w:val="00AC429E"/>
    <w:rsid w:val="00AD783C"/>
    <w:rsid w:val="00AE278C"/>
    <w:rsid w:val="00AE3BCC"/>
    <w:rsid w:val="00AE713A"/>
    <w:rsid w:val="00AF7976"/>
    <w:rsid w:val="00B0352C"/>
    <w:rsid w:val="00B06869"/>
    <w:rsid w:val="00B0791E"/>
    <w:rsid w:val="00B10239"/>
    <w:rsid w:val="00B119BF"/>
    <w:rsid w:val="00B14D30"/>
    <w:rsid w:val="00B20F47"/>
    <w:rsid w:val="00B25292"/>
    <w:rsid w:val="00B2627D"/>
    <w:rsid w:val="00B30B5C"/>
    <w:rsid w:val="00B349D9"/>
    <w:rsid w:val="00B353C5"/>
    <w:rsid w:val="00B36035"/>
    <w:rsid w:val="00B36E3C"/>
    <w:rsid w:val="00B425E9"/>
    <w:rsid w:val="00B45736"/>
    <w:rsid w:val="00B46721"/>
    <w:rsid w:val="00B5520A"/>
    <w:rsid w:val="00B56D8E"/>
    <w:rsid w:val="00B64329"/>
    <w:rsid w:val="00B66B2F"/>
    <w:rsid w:val="00B70F1B"/>
    <w:rsid w:val="00B7161E"/>
    <w:rsid w:val="00B74C51"/>
    <w:rsid w:val="00B77940"/>
    <w:rsid w:val="00B84CE5"/>
    <w:rsid w:val="00B87859"/>
    <w:rsid w:val="00B925F4"/>
    <w:rsid w:val="00B94921"/>
    <w:rsid w:val="00B97C8E"/>
    <w:rsid w:val="00BA46D1"/>
    <w:rsid w:val="00BA48CA"/>
    <w:rsid w:val="00BA7623"/>
    <w:rsid w:val="00BB2EA7"/>
    <w:rsid w:val="00BB6B69"/>
    <w:rsid w:val="00BB7865"/>
    <w:rsid w:val="00BC0983"/>
    <w:rsid w:val="00BC71CA"/>
    <w:rsid w:val="00BD376D"/>
    <w:rsid w:val="00BD5C4D"/>
    <w:rsid w:val="00BE3710"/>
    <w:rsid w:val="00BE54BC"/>
    <w:rsid w:val="00BF2E39"/>
    <w:rsid w:val="00BF2F96"/>
    <w:rsid w:val="00BF39FB"/>
    <w:rsid w:val="00BF4CF6"/>
    <w:rsid w:val="00BF7415"/>
    <w:rsid w:val="00BF78E0"/>
    <w:rsid w:val="00C0044A"/>
    <w:rsid w:val="00C01E68"/>
    <w:rsid w:val="00C02867"/>
    <w:rsid w:val="00C0336C"/>
    <w:rsid w:val="00C05971"/>
    <w:rsid w:val="00C05FB3"/>
    <w:rsid w:val="00C07923"/>
    <w:rsid w:val="00C10086"/>
    <w:rsid w:val="00C17662"/>
    <w:rsid w:val="00C20207"/>
    <w:rsid w:val="00C222E9"/>
    <w:rsid w:val="00C226B2"/>
    <w:rsid w:val="00C32634"/>
    <w:rsid w:val="00C33605"/>
    <w:rsid w:val="00C431D5"/>
    <w:rsid w:val="00C50B7C"/>
    <w:rsid w:val="00C5437A"/>
    <w:rsid w:val="00C55EEB"/>
    <w:rsid w:val="00C60F27"/>
    <w:rsid w:val="00C64877"/>
    <w:rsid w:val="00C67955"/>
    <w:rsid w:val="00C7119B"/>
    <w:rsid w:val="00C71F32"/>
    <w:rsid w:val="00C74DBF"/>
    <w:rsid w:val="00C81D9B"/>
    <w:rsid w:val="00C8566B"/>
    <w:rsid w:val="00C85EAA"/>
    <w:rsid w:val="00C87648"/>
    <w:rsid w:val="00C92357"/>
    <w:rsid w:val="00CA152C"/>
    <w:rsid w:val="00CA1EEE"/>
    <w:rsid w:val="00CA2162"/>
    <w:rsid w:val="00CA2B3B"/>
    <w:rsid w:val="00CA3066"/>
    <w:rsid w:val="00CA3F7E"/>
    <w:rsid w:val="00CA4005"/>
    <w:rsid w:val="00CA64E6"/>
    <w:rsid w:val="00CB2264"/>
    <w:rsid w:val="00CB3B9C"/>
    <w:rsid w:val="00CB6753"/>
    <w:rsid w:val="00CB6A31"/>
    <w:rsid w:val="00CC04A6"/>
    <w:rsid w:val="00CC2B8C"/>
    <w:rsid w:val="00CC2ECB"/>
    <w:rsid w:val="00CC3D08"/>
    <w:rsid w:val="00CC45AA"/>
    <w:rsid w:val="00CD02DD"/>
    <w:rsid w:val="00CD279E"/>
    <w:rsid w:val="00CD2AEE"/>
    <w:rsid w:val="00CD61EB"/>
    <w:rsid w:val="00CD6999"/>
    <w:rsid w:val="00CE3975"/>
    <w:rsid w:val="00CE5EB3"/>
    <w:rsid w:val="00CF206E"/>
    <w:rsid w:val="00CF5B9B"/>
    <w:rsid w:val="00D006B9"/>
    <w:rsid w:val="00D00FD8"/>
    <w:rsid w:val="00D01B8E"/>
    <w:rsid w:val="00D06B0A"/>
    <w:rsid w:val="00D12945"/>
    <w:rsid w:val="00D14DC6"/>
    <w:rsid w:val="00D14E10"/>
    <w:rsid w:val="00D2223F"/>
    <w:rsid w:val="00D26F61"/>
    <w:rsid w:val="00D369DE"/>
    <w:rsid w:val="00D36AD0"/>
    <w:rsid w:val="00D40DC6"/>
    <w:rsid w:val="00D41CEB"/>
    <w:rsid w:val="00D42F55"/>
    <w:rsid w:val="00D46860"/>
    <w:rsid w:val="00D50D92"/>
    <w:rsid w:val="00D524E1"/>
    <w:rsid w:val="00D54421"/>
    <w:rsid w:val="00D55099"/>
    <w:rsid w:val="00D55148"/>
    <w:rsid w:val="00D5585A"/>
    <w:rsid w:val="00D559DB"/>
    <w:rsid w:val="00D652A8"/>
    <w:rsid w:val="00D6696E"/>
    <w:rsid w:val="00D711C8"/>
    <w:rsid w:val="00D72F88"/>
    <w:rsid w:val="00D732F0"/>
    <w:rsid w:val="00D83303"/>
    <w:rsid w:val="00D853E6"/>
    <w:rsid w:val="00D857DA"/>
    <w:rsid w:val="00D86414"/>
    <w:rsid w:val="00D94580"/>
    <w:rsid w:val="00D951E7"/>
    <w:rsid w:val="00D95D52"/>
    <w:rsid w:val="00D9612D"/>
    <w:rsid w:val="00DA0382"/>
    <w:rsid w:val="00DA1B39"/>
    <w:rsid w:val="00DA5A29"/>
    <w:rsid w:val="00DA613C"/>
    <w:rsid w:val="00DB05E1"/>
    <w:rsid w:val="00DB2AEA"/>
    <w:rsid w:val="00DB396A"/>
    <w:rsid w:val="00DB5154"/>
    <w:rsid w:val="00DC10EC"/>
    <w:rsid w:val="00DD05EE"/>
    <w:rsid w:val="00DD34FB"/>
    <w:rsid w:val="00DD3B38"/>
    <w:rsid w:val="00DD4FC7"/>
    <w:rsid w:val="00DD7EA9"/>
    <w:rsid w:val="00DE134E"/>
    <w:rsid w:val="00DE4B33"/>
    <w:rsid w:val="00DE64CC"/>
    <w:rsid w:val="00DE7521"/>
    <w:rsid w:val="00DF1FFE"/>
    <w:rsid w:val="00DF5E8B"/>
    <w:rsid w:val="00DF5EE9"/>
    <w:rsid w:val="00E01986"/>
    <w:rsid w:val="00E036AA"/>
    <w:rsid w:val="00E0507B"/>
    <w:rsid w:val="00E06A9F"/>
    <w:rsid w:val="00E06E47"/>
    <w:rsid w:val="00E10F5F"/>
    <w:rsid w:val="00E132AC"/>
    <w:rsid w:val="00E163DB"/>
    <w:rsid w:val="00E179EB"/>
    <w:rsid w:val="00E2136E"/>
    <w:rsid w:val="00E21512"/>
    <w:rsid w:val="00E21828"/>
    <w:rsid w:val="00E21BFB"/>
    <w:rsid w:val="00E21E39"/>
    <w:rsid w:val="00E24121"/>
    <w:rsid w:val="00E30F50"/>
    <w:rsid w:val="00E313AC"/>
    <w:rsid w:val="00E32F93"/>
    <w:rsid w:val="00E3424D"/>
    <w:rsid w:val="00E34D93"/>
    <w:rsid w:val="00E35E6C"/>
    <w:rsid w:val="00E36CB0"/>
    <w:rsid w:val="00E51AFC"/>
    <w:rsid w:val="00E544B9"/>
    <w:rsid w:val="00E570C6"/>
    <w:rsid w:val="00E576A6"/>
    <w:rsid w:val="00E610ED"/>
    <w:rsid w:val="00E61CDF"/>
    <w:rsid w:val="00E6378B"/>
    <w:rsid w:val="00E6404A"/>
    <w:rsid w:val="00E64271"/>
    <w:rsid w:val="00E65D76"/>
    <w:rsid w:val="00E72AAE"/>
    <w:rsid w:val="00E74C7A"/>
    <w:rsid w:val="00E827CA"/>
    <w:rsid w:val="00E84510"/>
    <w:rsid w:val="00E91DFF"/>
    <w:rsid w:val="00E94234"/>
    <w:rsid w:val="00E943F2"/>
    <w:rsid w:val="00E961B2"/>
    <w:rsid w:val="00EA09D3"/>
    <w:rsid w:val="00EA11F8"/>
    <w:rsid w:val="00EA6DC1"/>
    <w:rsid w:val="00EB2A6C"/>
    <w:rsid w:val="00EB381E"/>
    <w:rsid w:val="00EB44B5"/>
    <w:rsid w:val="00EB7727"/>
    <w:rsid w:val="00EC37E2"/>
    <w:rsid w:val="00EC5A58"/>
    <w:rsid w:val="00ED1F6D"/>
    <w:rsid w:val="00ED262D"/>
    <w:rsid w:val="00ED56E9"/>
    <w:rsid w:val="00EE0107"/>
    <w:rsid w:val="00EE1694"/>
    <w:rsid w:val="00EE2FFA"/>
    <w:rsid w:val="00EE53DD"/>
    <w:rsid w:val="00EF1E68"/>
    <w:rsid w:val="00EF2311"/>
    <w:rsid w:val="00EF2B4E"/>
    <w:rsid w:val="00EF41DF"/>
    <w:rsid w:val="00EF529A"/>
    <w:rsid w:val="00EF5D08"/>
    <w:rsid w:val="00EF71AC"/>
    <w:rsid w:val="00EF7EAC"/>
    <w:rsid w:val="00F00A39"/>
    <w:rsid w:val="00F04C4F"/>
    <w:rsid w:val="00F05C8C"/>
    <w:rsid w:val="00F07A87"/>
    <w:rsid w:val="00F10947"/>
    <w:rsid w:val="00F12C08"/>
    <w:rsid w:val="00F137DB"/>
    <w:rsid w:val="00F162D4"/>
    <w:rsid w:val="00F20148"/>
    <w:rsid w:val="00F22031"/>
    <w:rsid w:val="00F2314F"/>
    <w:rsid w:val="00F254E5"/>
    <w:rsid w:val="00F270BD"/>
    <w:rsid w:val="00F273A2"/>
    <w:rsid w:val="00F277E9"/>
    <w:rsid w:val="00F372BF"/>
    <w:rsid w:val="00F43E2F"/>
    <w:rsid w:val="00F45216"/>
    <w:rsid w:val="00F465C4"/>
    <w:rsid w:val="00F4702C"/>
    <w:rsid w:val="00F55E0C"/>
    <w:rsid w:val="00F56761"/>
    <w:rsid w:val="00F56E7D"/>
    <w:rsid w:val="00F57A6E"/>
    <w:rsid w:val="00F60147"/>
    <w:rsid w:val="00F6077E"/>
    <w:rsid w:val="00F64F2C"/>
    <w:rsid w:val="00F65AD5"/>
    <w:rsid w:val="00F65BA4"/>
    <w:rsid w:val="00F66E6D"/>
    <w:rsid w:val="00F72925"/>
    <w:rsid w:val="00F739E0"/>
    <w:rsid w:val="00F74522"/>
    <w:rsid w:val="00F74DFA"/>
    <w:rsid w:val="00F77170"/>
    <w:rsid w:val="00F8157B"/>
    <w:rsid w:val="00F82EB6"/>
    <w:rsid w:val="00F8542B"/>
    <w:rsid w:val="00F85BF2"/>
    <w:rsid w:val="00F87528"/>
    <w:rsid w:val="00F87B07"/>
    <w:rsid w:val="00F87E56"/>
    <w:rsid w:val="00F93F43"/>
    <w:rsid w:val="00F94CBD"/>
    <w:rsid w:val="00F962A9"/>
    <w:rsid w:val="00F9687D"/>
    <w:rsid w:val="00FA3541"/>
    <w:rsid w:val="00FB2357"/>
    <w:rsid w:val="00FB2DB3"/>
    <w:rsid w:val="00FC0DBC"/>
    <w:rsid w:val="00FC1360"/>
    <w:rsid w:val="00FC27A1"/>
    <w:rsid w:val="00FC2D8B"/>
    <w:rsid w:val="00FC2FD7"/>
    <w:rsid w:val="00FC574A"/>
    <w:rsid w:val="00FD2B0C"/>
    <w:rsid w:val="00FD2F56"/>
    <w:rsid w:val="00FE2B5E"/>
    <w:rsid w:val="00FE37DD"/>
    <w:rsid w:val="00FE7293"/>
    <w:rsid w:val="00FF03FF"/>
    <w:rsid w:val="00FF214B"/>
    <w:rsid w:val="00FF27CC"/>
    <w:rsid w:val="00FF31D3"/>
    <w:rsid w:val="00FF43E7"/>
    <w:rsid w:val="00FF6048"/>
    <w:rsid w:val="03E9EEDE"/>
    <w:rsid w:val="0E4034A0"/>
    <w:rsid w:val="4DAEB004"/>
    <w:rsid w:val="7409A2E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D9B"/>
    <w:pPr>
      <w:spacing w:after="120" w:line="264" w:lineRule="auto"/>
    </w:pPr>
  </w:style>
  <w:style w:type="paragraph" w:styleId="Heading1">
    <w:name w:val="heading 1"/>
    <w:basedOn w:val="Normal"/>
    <w:next w:val="Normal"/>
    <w:link w:val="Heading1Char"/>
    <w:uiPriority w:val="9"/>
    <w:qFormat/>
    <w:rsid w:val="00695166"/>
    <w:pPr>
      <w:keepNext/>
      <w:keepLines/>
      <w:spacing w:before="160" w:after="100" w:line="240" w:lineRule="auto"/>
      <w:outlineLvl w:val="0"/>
    </w:pPr>
    <w:rPr>
      <w:rFonts w:ascii="Georgia" w:eastAsia="SimHei" w:hAnsi="Georgia" w:cs="Times New Roman"/>
      <w:b/>
      <w:color w:val="094183"/>
      <w:sz w:val="32"/>
      <w:szCs w:val="32"/>
      <w:lang w:eastAsia="en-US"/>
    </w:rPr>
  </w:style>
  <w:style w:type="paragraph" w:styleId="Heading2">
    <w:name w:val="heading 2"/>
    <w:basedOn w:val="Normal"/>
    <w:next w:val="Normal"/>
    <w:link w:val="Heading2Char"/>
    <w:uiPriority w:val="9"/>
    <w:unhideWhenUsed/>
    <w:qFormat/>
    <w:rsid w:val="00695166"/>
    <w:pPr>
      <w:keepNext/>
      <w:keepLines/>
      <w:spacing w:before="120" w:after="60" w:line="240" w:lineRule="auto"/>
      <w:outlineLvl w:val="1"/>
    </w:pPr>
    <w:rPr>
      <w:rFonts w:ascii="Georgia" w:eastAsia="SimHei" w:hAnsi="Georgia" w:cs="Times New Roman"/>
      <w:b/>
      <w:sz w:val="24"/>
      <w:szCs w:val="26"/>
      <w:lang w:eastAsia="en-US"/>
    </w:rPr>
  </w:style>
  <w:style w:type="paragraph" w:styleId="Heading3">
    <w:name w:val="heading 3"/>
    <w:basedOn w:val="Normal"/>
    <w:next w:val="Normal"/>
    <w:link w:val="Heading3Char"/>
    <w:uiPriority w:val="9"/>
    <w:unhideWhenUsed/>
    <w:qFormat/>
    <w:rsid w:val="00695166"/>
    <w:pPr>
      <w:keepNext/>
      <w:keepLines/>
      <w:spacing w:before="120" w:after="60" w:line="240" w:lineRule="auto"/>
      <w:outlineLvl w:val="2"/>
    </w:pPr>
    <w:rPr>
      <w:rFonts w:ascii="Georgia" w:eastAsia="SimHei" w:hAnsi="Georgia" w:cs="Times New Roman"/>
      <w:color w:val="094183"/>
      <w:sz w:val="24"/>
      <w:szCs w:val="24"/>
      <w:lang w:eastAsia="en-US"/>
    </w:rPr>
  </w:style>
  <w:style w:type="paragraph" w:styleId="Heading4">
    <w:name w:val="heading 4"/>
    <w:basedOn w:val="Normal"/>
    <w:next w:val="Normal"/>
    <w:link w:val="Heading4Char"/>
    <w:uiPriority w:val="9"/>
    <w:unhideWhenUsed/>
    <w:qFormat/>
    <w:rsid w:val="00695166"/>
    <w:pPr>
      <w:keepNext/>
      <w:keepLines/>
      <w:spacing w:before="120" w:after="60" w:line="240" w:lineRule="auto"/>
      <w:outlineLvl w:val="3"/>
    </w:pPr>
    <w:rPr>
      <w:rFonts w:ascii="Georgia" w:eastAsia="SimHei" w:hAnsi="Georgia" w:cs="Times New Roman"/>
      <w:b/>
      <w:iCs/>
      <w:lang w:eastAsia="en-US"/>
    </w:rPr>
  </w:style>
  <w:style w:type="paragraph" w:styleId="Heading5">
    <w:name w:val="heading 5"/>
    <w:basedOn w:val="Normal"/>
    <w:next w:val="Normal"/>
    <w:link w:val="Heading5Char"/>
    <w:uiPriority w:val="9"/>
    <w:unhideWhenUsed/>
    <w:rsid w:val="00340AA0"/>
    <w:pPr>
      <w:keepNext/>
      <w:keepLines/>
      <w:spacing w:after="6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unhideWhenUsed/>
    <w:rsid w:val="00340AA0"/>
    <w:pPr>
      <w:keepNext/>
      <w:keepLines/>
      <w:outlineLvl w:val="5"/>
    </w:pPr>
    <w:rPr>
      <w:rFonts w:asciiTheme="majorHAnsi" w:eastAsiaTheme="majorEastAsia" w:hAnsiTheme="majorHAnsi" w:cstheme="majorBidi"/>
      <w:color w:val="094183" w:themeColor="text2"/>
    </w:rPr>
  </w:style>
  <w:style w:type="paragraph" w:styleId="Heading7">
    <w:name w:val="heading 7"/>
    <w:basedOn w:val="Normal"/>
    <w:next w:val="Normal"/>
    <w:link w:val="Heading7Char"/>
    <w:uiPriority w:val="9"/>
    <w:unhideWhenUsed/>
    <w:rsid w:val="006342D8"/>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6342D8"/>
    <w:pPr>
      <w:keepNext/>
      <w:keepLines/>
      <w:spacing w:before="40" w:after="0"/>
      <w:outlineLvl w:val="7"/>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754259"/>
    <w:pPr>
      <w:tabs>
        <w:tab w:val="left" w:pos="480"/>
        <w:tab w:val="left" w:pos="960"/>
        <w:tab w:val="left" w:pos="1440"/>
        <w:tab w:val="left" w:pos="1920"/>
        <w:tab w:val="left" w:pos="2400"/>
        <w:tab w:val="left" w:pos="2880"/>
        <w:tab w:val="left" w:pos="3360"/>
        <w:tab w:val="left" w:pos="3840"/>
        <w:tab w:val="left" w:pos="4320"/>
      </w:tabs>
      <w:spacing w:line="276" w:lineRule="auto"/>
    </w:pPr>
  </w:style>
  <w:style w:type="character" w:customStyle="1" w:styleId="MacroTextChar">
    <w:name w:val="Macro Text Char"/>
    <w:basedOn w:val="DefaultParagraphFont"/>
    <w:link w:val="MacroText"/>
    <w:uiPriority w:val="99"/>
    <w:semiHidden/>
    <w:rsid w:val="00754259"/>
    <w:rPr>
      <w:sz w:val="20"/>
      <w:szCs w:val="20"/>
    </w:rPr>
  </w:style>
  <w:style w:type="paragraph" w:styleId="ListBullet">
    <w:name w:val="List Bullet"/>
    <w:basedOn w:val="Normal"/>
    <w:uiPriority w:val="99"/>
    <w:unhideWhenUsed/>
    <w:qFormat/>
    <w:rsid w:val="000E5133"/>
    <w:pPr>
      <w:numPr>
        <w:numId w:val="34"/>
      </w:numPr>
      <w:contextualSpacing/>
    </w:pPr>
  </w:style>
  <w:style w:type="paragraph" w:styleId="ListBullet2">
    <w:name w:val="List Bullet 2"/>
    <w:basedOn w:val="Normal"/>
    <w:uiPriority w:val="99"/>
    <w:unhideWhenUsed/>
    <w:qFormat/>
    <w:rsid w:val="000E5133"/>
    <w:pPr>
      <w:numPr>
        <w:ilvl w:val="1"/>
        <w:numId w:val="34"/>
      </w:numPr>
      <w:contextualSpacing/>
    </w:pPr>
  </w:style>
  <w:style w:type="paragraph" w:styleId="ListBullet3">
    <w:name w:val="List Bullet 3"/>
    <w:basedOn w:val="Normal"/>
    <w:uiPriority w:val="99"/>
    <w:unhideWhenUsed/>
    <w:rsid w:val="000E5133"/>
    <w:pPr>
      <w:numPr>
        <w:ilvl w:val="2"/>
        <w:numId w:val="34"/>
      </w:numPr>
      <w:contextualSpacing/>
    </w:pPr>
  </w:style>
  <w:style w:type="paragraph" w:styleId="ListBullet4">
    <w:name w:val="List Bullet 4"/>
    <w:basedOn w:val="Normal"/>
    <w:uiPriority w:val="99"/>
    <w:unhideWhenUsed/>
    <w:rsid w:val="000E5133"/>
    <w:pPr>
      <w:numPr>
        <w:ilvl w:val="3"/>
        <w:numId w:val="34"/>
      </w:numPr>
      <w:contextualSpacing/>
    </w:pPr>
  </w:style>
  <w:style w:type="numbering" w:customStyle="1" w:styleId="Bullets">
    <w:name w:val="Bullets"/>
    <w:uiPriority w:val="99"/>
    <w:rsid w:val="000E5133"/>
    <w:pPr>
      <w:numPr>
        <w:numId w:val="11"/>
      </w:numPr>
    </w:pPr>
  </w:style>
  <w:style w:type="paragraph" w:styleId="ListNumber">
    <w:name w:val="List Number"/>
    <w:basedOn w:val="Normal"/>
    <w:uiPriority w:val="99"/>
    <w:unhideWhenUsed/>
    <w:qFormat/>
    <w:rsid w:val="000E5133"/>
    <w:pPr>
      <w:numPr>
        <w:numId w:val="35"/>
      </w:numPr>
      <w:contextualSpacing/>
    </w:pPr>
  </w:style>
  <w:style w:type="paragraph" w:styleId="ListNumber2">
    <w:name w:val="List Number 2"/>
    <w:basedOn w:val="Normal"/>
    <w:uiPriority w:val="99"/>
    <w:unhideWhenUsed/>
    <w:qFormat/>
    <w:rsid w:val="000E5133"/>
    <w:pPr>
      <w:numPr>
        <w:ilvl w:val="1"/>
        <w:numId w:val="35"/>
      </w:numPr>
      <w:contextualSpacing/>
    </w:pPr>
  </w:style>
  <w:style w:type="paragraph" w:styleId="ListNumber3">
    <w:name w:val="List Number 3"/>
    <w:basedOn w:val="Normal"/>
    <w:uiPriority w:val="99"/>
    <w:unhideWhenUsed/>
    <w:qFormat/>
    <w:rsid w:val="000E5133"/>
    <w:pPr>
      <w:numPr>
        <w:ilvl w:val="2"/>
        <w:numId w:val="35"/>
      </w:numPr>
      <w:contextualSpacing/>
    </w:pPr>
  </w:style>
  <w:style w:type="paragraph" w:styleId="ListNumber4">
    <w:name w:val="List Number 4"/>
    <w:basedOn w:val="Normal"/>
    <w:uiPriority w:val="99"/>
    <w:unhideWhenUsed/>
    <w:qFormat/>
    <w:rsid w:val="000E5133"/>
    <w:pPr>
      <w:numPr>
        <w:ilvl w:val="3"/>
        <w:numId w:val="35"/>
      </w:numPr>
      <w:contextualSpacing/>
    </w:pPr>
  </w:style>
  <w:style w:type="numbering" w:customStyle="1" w:styleId="NumberedLists">
    <w:name w:val="Numbered Lists"/>
    <w:uiPriority w:val="99"/>
    <w:rsid w:val="000E5133"/>
    <w:pPr>
      <w:numPr>
        <w:numId w:val="13"/>
      </w:numPr>
    </w:pPr>
  </w:style>
  <w:style w:type="paragraph" w:styleId="ListContinue">
    <w:name w:val="List Continue"/>
    <w:basedOn w:val="Normal"/>
    <w:uiPriority w:val="99"/>
    <w:unhideWhenUsed/>
    <w:rsid w:val="005D6E2A"/>
    <w:pPr>
      <w:ind w:left="340"/>
    </w:pPr>
  </w:style>
  <w:style w:type="paragraph" w:styleId="ListNumber5">
    <w:name w:val="List Number 5"/>
    <w:basedOn w:val="Normal"/>
    <w:uiPriority w:val="99"/>
    <w:unhideWhenUsed/>
    <w:rsid w:val="000E5133"/>
    <w:pPr>
      <w:numPr>
        <w:ilvl w:val="4"/>
        <w:numId w:val="35"/>
      </w:numPr>
      <w:contextualSpacing/>
    </w:pPr>
  </w:style>
  <w:style w:type="paragraph" w:styleId="ListContinue2">
    <w:name w:val="List Continue 2"/>
    <w:basedOn w:val="Normal"/>
    <w:uiPriority w:val="99"/>
    <w:unhideWhenUsed/>
    <w:rsid w:val="005D6E2A"/>
    <w:pPr>
      <w:ind w:left="680"/>
    </w:pPr>
  </w:style>
  <w:style w:type="paragraph" w:styleId="ListContinue3">
    <w:name w:val="List Continue 3"/>
    <w:basedOn w:val="Normal"/>
    <w:uiPriority w:val="99"/>
    <w:semiHidden/>
    <w:unhideWhenUsed/>
    <w:rsid w:val="005D6E2A"/>
    <w:pPr>
      <w:ind w:left="1021"/>
    </w:pPr>
  </w:style>
  <w:style w:type="paragraph" w:styleId="ListContinue4">
    <w:name w:val="List Continue 4"/>
    <w:basedOn w:val="Normal"/>
    <w:uiPriority w:val="99"/>
    <w:semiHidden/>
    <w:unhideWhenUsed/>
    <w:rsid w:val="005D6E2A"/>
    <w:pPr>
      <w:ind w:left="1361"/>
    </w:pPr>
  </w:style>
  <w:style w:type="paragraph" w:styleId="Header">
    <w:name w:val="header"/>
    <w:basedOn w:val="Normal"/>
    <w:link w:val="HeaderChar"/>
    <w:uiPriority w:val="99"/>
    <w:unhideWhenUsed/>
    <w:rsid w:val="00304881"/>
    <w:pPr>
      <w:tabs>
        <w:tab w:val="center" w:pos="4513"/>
        <w:tab w:val="right" w:pos="9026"/>
      </w:tabs>
      <w:spacing w:line="240" w:lineRule="auto"/>
      <w:jc w:val="right"/>
    </w:pPr>
  </w:style>
  <w:style w:type="character" w:customStyle="1" w:styleId="HeaderChar">
    <w:name w:val="Header Char"/>
    <w:basedOn w:val="DefaultParagraphFont"/>
    <w:link w:val="Header"/>
    <w:uiPriority w:val="99"/>
    <w:rsid w:val="00304881"/>
    <w:rPr>
      <w:sz w:val="20"/>
    </w:rPr>
  </w:style>
  <w:style w:type="paragraph" w:styleId="Footer">
    <w:name w:val="footer"/>
    <w:basedOn w:val="Normal"/>
    <w:link w:val="FooterChar"/>
    <w:uiPriority w:val="99"/>
    <w:unhideWhenUsed/>
    <w:rsid w:val="00E10F5F"/>
    <w:pPr>
      <w:tabs>
        <w:tab w:val="center" w:pos="4513"/>
        <w:tab w:val="right" w:pos="9026"/>
      </w:tabs>
      <w:spacing w:after="0" w:line="240" w:lineRule="auto"/>
    </w:pPr>
    <w:rPr>
      <w:color w:val="094183" w:themeColor="text2"/>
    </w:rPr>
  </w:style>
  <w:style w:type="character" w:customStyle="1" w:styleId="FooterChar">
    <w:name w:val="Footer Char"/>
    <w:basedOn w:val="DefaultParagraphFont"/>
    <w:link w:val="Footer"/>
    <w:uiPriority w:val="99"/>
    <w:rsid w:val="00E10F5F"/>
    <w:rPr>
      <w:color w:val="094183" w:themeColor="text2"/>
      <w:sz w:val="20"/>
    </w:rPr>
  </w:style>
  <w:style w:type="paragraph" w:styleId="Title">
    <w:name w:val="Title"/>
    <w:basedOn w:val="Normal"/>
    <w:next w:val="Normal"/>
    <w:link w:val="TitleChar"/>
    <w:uiPriority w:val="10"/>
    <w:qFormat/>
    <w:rsid w:val="008C2D5A"/>
    <w:pPr>
      <w:framePr w:w="6804" w:hSpace="2835" w:wrap="around" w:vAnchor="page" w:hAnchor="margin" w:y="5104" w:anchorLock="1"/>
      <w:spacing w:after="0" w:line="240" w:lineRule="auto"/>
      <w:contextualSpacing/>
    </w:pPr>
    <w:rPr>
      <w:rFonts w:asciiTheme="majorHAnsi" w:eastAsiaTheme="majorEastAsia" w:hAnsiTheme="majorHAnsi" w:cstheme="majorBidi"/>
      <w:b/>
      <w:color w:val="094183" w:themeColor="text2"/>
      <w:spacing w:val="-10"/>
      <w:kern w:val="28"/>
      <w:sz w:val="48"/>
      <w:szCs w:val="56"/>
    </w:rPr>
  </w:style>
  <w:style w:type="character" w:customStyle="1" w:styleId="TitleChar">
    <w:name w:val="Title Char"/>
    <w:basedOn w:val="DefaultParagraphFont"/>
    <w:link w:val="Title"/>
    <w:uiPriority w:val="10"/>
    <w:rsid w:val="008C2D5A"/>
    <w:rPr>
      <w:rFonts w:asciiTheme="majorHAnsi" w:eastAsiaTheme="majorEastAsia" w:hAnsiTheme="majorHAnsi" w:cstheme="majorBidi"/>
      <w:b/>
      <w:color w:val="094183" w:themeColor="text2"/>
      <w:spacing w:val="-10"/>
      <w:kern w:val="28"/>
      <w:sz w:val="48"/>
      <w:szCs w:val="56"/>
    </w:rPr>
  </w:style>
  <w:style w:type="character" w:styleId="PlaceholderText">
    <w:name w:val="Placeholder Text"/>
    <w:basedOn w:val="DefaultParagraphFont"/>
    <w:uiPriority w:val="99"/>
    <w:semiHidden/>
    <w:rsid w:val="00BC71CA"/>
    <w:rPr>
      <w:color w:val="808080"/>
    </w:rPr>
  </w:style>
  <w:style w:type="paragraph" w:styleId="Subtitle">
    <w:name w:val="Subtitle"/>
    <w:basedOn w:val="Normal"/>
    <w:next w:val="Normal"/>
    <w:link w:val="SubtitleChar"/>
    <w:uiPriority w:val="11"/>
    <w:qFormat/>
    <w:rsid w:val="008C2D5A"/>
    <w:pPr>
      <w:framePr w:w="6804" w:hSpace="2835" w:wrap="around" w:vAnchor="page" w:hAnchor="margin" w:y="5104" w:anchorLock="1"/>
      <w:numPr>
        <w:ilvl w:val="1"/>
      </w:numPr>
      <w:spacing w:before="360"/>
    </w:pPr>
    <w:rPr>
      <w:color w:val="000000" w:themeColor="text1"/>
      <w:sz w:val="32"/>
    </w:rPr>
  </w:style>
  <w:style w:type="character" w:customStyle="1" w:styleId="SubtitleChar">
    <w:name w:val="Subtitle Char"/>
    <w:basedOn w:val="DefaultParagraphFont"/>
    <w:link w:val="Subtitle"/>
    <w:uiPriority w:val="11"/>
    <w:rsid w:val="008C2D5A"/>
    <w:rPr>
      <w:color w:val="000000" w:themeColor="text1"/>
      <w:sz w:val="32"/>
    </w:rPr>
  </w:style>
  <w:style w:type="paragraph" w:customStyle="1" w:styleId="Coverimage-portrait">
    <w:name w:val="Cover image-portrait"/>
    <w:basedOn w:val="Normal"/>
    <w:rsid w:val="00C55EEB"/>
    <w:pPr>
      <w:framePr w:w="11340" w:h="16273" w:hRule="exact" w:wrap="around" w:vAnchor="page" w:hAnchor="page" w:x="285" w:y="285" w:anchorLock="1"/>
    </w:pPr>
  </w:style>
  <w:style w:type="character" w:customStyle="1" w:styleId="Heading1Char">
    <w:name w:val="Heading 1 Char"/>
    <w:basedOn w:val="DefaultParagraphFont"/>
    <w:link w:val="Heading1"/>
    <w:uiPriority w:val="9"/>
    <w:rsid w:val="00695166"/>
    <w:rPr>
      <w:rFonts w:ascii="Georgia" w:eastAsia="SimHei" w:hAnsi="Georgia" w:cs="Times New Roman"/>
      <w:b/>
      <w:color w:val="094183"/>
      <w:sz w:val="32"/>
      <w:szCs w:val="32"/>
      <w:lang w:eastAsia="en-US"/>
    </w:rPr>
  </w:style>
  <w:style w:type="paragraph" w:customStyle="1" w:styleId="NumberedHeading1">
    <w:name w:val="Numbered Heading 1"/>
    <w:basedOn w:val="Heading1"/>
    <w:qFormat/>
    <w:rsid w:val="000E5133"/>
    <w:pPr>
      <w:numPr>
        <w:numId w:val="36"/>
      </w:numPr>
    </w:pPr>
  </w:style>
  <w:style w:type="character" w:customStyle="1" w:styleId="Heading2Char">
    <w:name w:val="Heading 2 Char"/>
    <w:basedOn w:val="DefaultParagraphFont"/>
    <w:link w:val="Heading2"/>
    <w:uiPriority w:val="9"/>
    <w:rsid w:val="00695166"/>
    <w:rPr>
      <w:rFonts w:ascii="Georgia" w:eastAsia="SimHei" w:hAnsi="Georgia" w:cs="Times New Roman"/>
      <w:b/>
      <w:sz w:val="24"/>
      <w:szCs w:val="26"/>
      <w:lang w:eastAsia="en-US"/>
    </w:rPr>
  </w:style>
  <w:style w:type="character" w:customStyle="1" w:styleId="Heading3Char">
    <w:name w:val="Heading 3 Char"/>
    <w:basedOn w:val="DefaultParagraphFont"/>
    <w:link w:val="Heading3"/>
    <w:uiPriority w:val="9"/>
    <w:rsid w:val="00695166"/>
    <w:rPr>
      <w:rFonts w:ascii="Georgia" w:eastAsia="SimHei" w:hAnsi="Georgia" w:cs="Times New Roman"/>
      <w:color w:val="094183"/>
      <w:sz w:val="24"/>
      <w:szCs w:val="24"/>
      <w:lang w:eastAsia="en-US"/>
    </w:rPr>
  </w:style>
  <w:style w:type="character" w:customStyle="1" w:styleId="Heading4Char">
    <w:name w:val="Heading 4 Char"/>
    <w:basedOn w:val="DefaultParagraphFont"/>
    <w:link w:val="Heading4"/>
    <w:uiPriority w:val="9"/>
    <w:rsid w:val="00695166"/>
    <w:rPr>
      <w:rFonts w:ascii="Georgia" w:eastAsia="SimHei" w:hAnsi="Georgia" w:cs="Times New Roman"/>
      <w:b/>
      <w:iCs/>
      <w:sz w:val="20"/>
      <w:lang w:eastAsia="en-US"/>
    </w:rPr>
  </w:style>
  <w:style w:type="paragraph" w:customStyle="1" w:styleId="NumberedHeading2">
    <w:name w:val="Numbered Heading 2"/>
    <w:basedOn w:val="Heading2"/>
    <w:qFormat/>
    <w:rsid w:val="000E5133"/>
    <w:pPr>
      <w:numPr>
        <w:ilvl w:val="1"/>
        <w:numId w:val="36"/>
      </w:numPr>
    </w:pPr>
  </w:style>
  <w:style w:type="paragraph" w:customStyle="1" w:styleId="NumberedHeading3">
    <w:name w:val="Numbered Heading 3"/>
    <w:basedOn w:val="Heading3"/>
    <w:qFormat/>
    <w:rsid w:val="000E5133"/>
    <w:pPr>
      <w:numPr>
        <w:ilvl w:val="2"/>
        <w:numId w:val="36"/>
      </w:numPr>
    </w:pPr>
  </w:style>
  <w:style w:type="numbering" w:customStyle="1" w:styleId="NumberedHeadings">
    <w:name w:val="Numbered Headings"/>
    <w:uiPriority w:val="99"/>
    <w:rsid w:val="000E5133"/>
    <w:pPr>
      <w:numPr>
        <w:numId w:val="15"/>
      </w:numPr>
    </w:pPr>
  </w:style>
  <w:style w:type="paragraph" w:styleId="TOCHeading">
    <w:name w:val="TOC Heading"/>
    <w:basedOn w:val="Heading1"/>
    <w:next w:val="Normal"/>
    <w:uiPriority w:val="39"/>
    <w:unhideWhenUsed/>
    <w:rsid w:val="001D0D30"/>
    <w:pPr>
      <w:spacing w:before="0" w:after="560" w:line="228" w:lineRule="auto"/>
      <w:outlineLvl w:val="9"/>
    </w:pPr>
    <w:rPr>
      <w:sz w:val="39"/>
    </w:rPr>
  </w:style>
  <w:style w:type="paragraph" w:customStyle="1" w:styleId="Coverimage-landscape">
    <w:name w:val="Cover image-landscape"/>
    <w:basedOn w:val="Coverimage-portrait"/>
    <w:rsid w:val="00246067"/>
    <w:pPr>
      <w:framePr w:w="7938" w:h="10773" w:hRule="exact" w:wrap="around" w:x="8336" w:y="568"/>
    </w:pPr>
  </w:style>
  <w:style w:type="paragraph" w:styleId="TOC1">
    <w:name w:val="toc 1"/>
    <w:basedOn w:val="Normal"/>
    <w:next w:val="Normal"/>
    <w:autoRedefine/>
    <w:uiPriority w:val="39"/>
    <w:unhideWhenUsed/>
    <w:rsid w:val="003C64B8"/>
    <w:pPr>
      <w:tabs>
        <w:tab w:val="right" w:leader="dot" w:pos="9015"/>
      </w:tabs>
      <w:spacing w:before="240" w:after="40" w:line="240" w:lineRule="auto"/>
      <w:ind w:right="567"/>
    </w:pPr>
    <w:rPr>
      <w:b/>
      <w:color w:val="094183" w:themeColor="text2"/>
      <w:sz w:val="24"/>
    </w:rPr>
  </w:style>
  <w:style w:type="paragraph" w:styleId="TOC2">
    <w:name w:val="toc 2"/>
    <w:basedOn w:val="Normal"/>
    <w:next w:val="Normal"/>
    <w:autoRedefine/>
    <w:uiPriority w:val="39"/>
    <w:unhideWhenUsed/>
    <w:rsid w:val="003C64B8"/>
    <w:pPr>
      <w:tabs>
        <w:tab w:val="right" w:leader="dot" w:pos="9015"/>
      </w:tabs>
      <w:spacing w:after="100"/>
      <w:ind w:left="567" w:right="567" w:hanging="567"/>
    </w:pPr>
    <w:rPr>
      <w:color w:val="094183" w:themeColor="text2"/>
      <w:sz w:val="24"/>
    </w:rPr>
  </w:style>
  <w:style w:type="paragraph" w:styleId="TOC3">
    <w:name w:val="toc 3"/>
    <w:basedOn w:val="Normal"/>
    <w:next w:val="Normal"/>
    <w:autoRedefine/>
    <w:uiPriority w:val="39"/>
    <w:unhideWhenUsed/>
    <w:rsid w:val="001108AF"/>
    <w:pPr>
      <w:tabs>
        <w:tab w:val="right" w:pos="9582"/>
      </w:tabs>
      <w:spacing w:after="100"/>
      <w:ind w:right="567"/>
    </w:pPr>
  </w:style>
  <w:style w:type="character" w:styleId="Hyperlink">
    <w:name w:val="Hyperlink"/>
    <w:basedOn w:val="DefaultParagraphFont"/>
    <w:uiPriority w:val="99"/>
    <w:unhideWhenUsed/>
    <w:rsid w:val="001108AF"/>
    <w:rPr>
      <w:color w:val="000000" w:themeColor="hyperlink"/>
      <w:u w:val="single"/>
    </w:rPr>
  </w:style>
  <w:style w:type="paragraph" w:styleId="TOC4">
    <w:name w:val="toc 4"/>
    <w:basedOn w:val="Normal"/>
    <w:next w:val="Normal"/>
    <w:autoRedefine/>
    <w:uiPriority w:val="39"/>
    <w:unhideWhenUsed/>
    <w:rsid w:val="001108AF"/>
    <w:pPr>
      <w:tabs>
        <w:tab w:val="right" w:pos="9582"/>
      </w:tabs>
      <w:spacing w:after="100"/>
      <w:ind w:left="567" w:hanging="567"/>
    </w:pPr>
  </w:style>
  <w:style w:type="paragraph" w:styleId="TOC5">
    <w:name w:val="toc 5"/>
    <w:basedOn w:val="Normal"/>
    <w:next w:val="Normal"/>
    <w:autoRedefine/>
    <w:uiPriority w:val="39"/>
    <w:unhideWhenUsed/>
    <w:rsid w:val="00837F62"/>
    <w:pPr>
      <w:tabs>
        <w:tab w:val="right" w:pos="9582"/>
        <w:tab w:val="right" w:pos="9628"/>
      </w:tabs>
      <w:spacing w:after="100"/>
      <w:ind w:left="567" w:right="567"/>
    </w:pPr>
  </w:style>
  <w:style w:type="paragraph" w:styleId="TOC6">
    <w:name w:val="toc 6"/>
    <w:basedOn w:val="Normal"/>
    <w:next w:val="Normal"/>
    <w:autoRedefine/>
    <w:uiPriority w:val="39"/>
    <w:unhideWhenUsed/>
    <w:rsid w:val="001108AF"/>
    <w:pPr>
      <w:tabs>
        <w:tab w:val="right" w:pos="9582"/>
      </w:tabs>
      <w:spacing w:after="100"/>
      <w:ind w:left="1134" w:right="567" w:hanging="567"/>
    </w:pPr>
  </w:style>
  <w:style w:type="character" w:customStyle="1" w:styleId="Heading5Char">
    <w:name w:val="Heading 5 Char"/>
    <w:basedOn w:val="DefaultParagraphFont"/>
    <w:link w:val="Heading5"/>
    <w:uiPriority w:val="9"/>
    <w:rsid w:val="00340AA0"/>
    <w:rPr>
      <w:rFonts w:asciiTheme="majorHAnsi" w:eastAsiaTheme="majorEastAsia" w:hAnsiTheme="majorHAnsi" w:cstheme="majorBidi"/>
      <w:b/>
      <w:sz w:val="20"/>
    </w:rPr>
  </w:style>
  <w:style w:type="character" w:customStyle="1" w:styleId="Heading6Char">
    <w:name w:val="Heading 6 Char"/>
    <w:basedOn w:val="DefaultParagraphFont"/>
    <w:link w:val="Heading6"/>
    <w:uiPriority w:val="9"/>
    <w:rsid w:val="00340AA0"/>
    <w:rPr>
      <w:rFonts w:asciiTheme="majorHAnsi" w:eastAsiaTheme="majorEastAsia" w:hAnsiTheme="majorHAnsi" w:cstheme="majorBidi"/>
      <w:color w:val="094183" w:themeColor="text2"/>
      <w:sz w:val="20"/>
    </w:rPr>
  </w:style>
  <w:style w:type="character" w:customStyle="1" w:styleId="Heading7Char">
    <w:name w:val="Heading 7 Char"/>
    <w:basedOn w:val="DefaultParagraphFont"/>
    <w:link w:val="Heading7"/>
    <w:uiPriority w:val="9"/>
    <w:rsid w:val="006342D8"/>
    <w:rPr>
      <w:rFonts w:asciiTheme="majorHAnsi" w:eastAsiaTheme="majorEastAsia" w:hAnsiTheme="majorHAnsi" w:cstheme="majorBidi"/>
      <w:i/>
      <w:iCs/>
      <w:sz w:val="20"/>
    </w:rPr>
  </w:style>
  <w:style w:type="character" w:customStyle="1" w:styleId="Heading8Char">
    <w:name w:val="Heading 8 Char"/>
    <w:basedOn w:val="DefaultParagraphFont"/>
    <w:link w:val="Heading8"/>
    <w:uiPriority w:val="9"/>
    <w:rsid w:val="006342D8"/>
    <w:rPr>
      <w:rFonts w:asciiTheme="majorHAnsi" w:eastAsiaTheme="majorEastAsia" w:hAnsiTheme="majorHAnsi" w:cstheme="majorBidi"/>
      <w:sz w:val="21"/>
      <w:szCs w:val="21"/>
    </w:rPr>
  </w:style>
  <w:style w:type="paragraph" w:styleId="NoSpacing">
    <w:name w:val="No Spacing"/>
    <w:uiPriority w:val="1"/>
    <w:qFormat/>
    <w:rsid w:val="00C8566B"/>
    <w:pPr>
      <w:spacing w:after="0" w:line="264" w:lineRule="auto"/>
    </w:pPr>
    <w:rPr>
      <w:sz w:val="20"/>
    </w:rPr>
  </w:style>
  <w:style w:type="paragraph" w:styleId="Date">
    <w:name w:val="Date"/>
    <w:basedOn w:val="Normal"/>
    <w:next w:val="Normal"/>
    <w:link w:val="DateChar"/>
    <w:uiPriority w:val="99"/>
    <w:unhideWhenUsed/>
    <w:rsid w:val="008C2D5A"/>
    <w:pPr>
      <w:framePr w:w="6804" w:hSpace="2835" w:wrap="around" w:vAnchor="page" w:hAnchor="margin" w:y="5104" w:anchorLock="1"/>
    </w:pPr>
  </w:style>
  <w:style w:type="character" w:customStyle="1" w:styleId="DateChar">
    <w:name w:val="Date Char"/>
    <w:basedOn w:val="DefaultParagraphFont"/>
    <w:link w:val="Date"/>
    <w:uiPriority w:val="99"/>
    <w:rsid w:val="008C2D5A"/>
    <w:rPr>
      <w:sz w:val="20"/>
    </w:rPr>
  </w:style>
  <w:style w:type="paragraph" w:customStyle="1" w:styleId="Datecoverimage">
    <w:name w:val="Date cover image"/>
    <w:basedOn w:val="Date"/>
    <w:rsid w:val="0075751C"/>
    <w:pPr>
      <w:framePr w:wrap="around" w:y="7485"/>
    </w:pPr>
    <w:rPr>
      <w:color w:val="000000" w:themeColor="text1"/>
    </w:rPr>
  </w:style>
  <w:style w:type="paragraph" w:customStyle="1" w:styleId="AppendixTitle">
    <w:name w:val="Appendix Title"/>
    <w:basedOn w:val="Title"/>
    <w:next w:val="Normal"/>
    <w:rsid w:val="00342318"/>
    <w:pPr>
      <w:pageBreakBefore/>
      <w:framePr w:wrap="around" w:vAnchor="margin" w:hAnchor="text" w:y="1532"/>
      <w:numPr>
        <w:numId w:val="28"/>
      </w:numPr>
      <w:spacing w:after="360"/>
    </w:pPr>
    <w:rPr>
      <w:sz w:val="36"/>
    </w:rPr>
  </w:style>
  <w:style w:type="numbering" w:customStyle="1" w:styleId="Appendix">
    <w:name w:val="Appendix"/>
    <w:uiPriority w:val="99"/>
    <w:rsid w:val="00342318"/>
    <w:pPr>
      <w:numPr>
        <w:numId w:val="16"/>
      </w:numPr>
    </w:pPr>
  </w:style>
  <w:style w:type="paragraph" w:styleId="List">
    <w:name w:val="List"/>
    <w:basedOn w:val="Normal"/>
    <w:uiPriority w:val="99"/>
    <w:unhideWhenUsed/>
    <w:rsid w:val="00C07923"/>
    <w:pPr>
      <w:ind w:left="283" w:hanging="283"/>
      <w:contextualSpacing/>
    </w:pPr>
  </w:style>
  <w:style w:type="paragraph" w:styleId="List2">
    <w:name w:val="List 2"/>
    <w:basedOn w:val="Normal"/>
    <w:uiPriority w:val="99"/>
    <w:unhideWhenUsed/>
    <w:rsid w:val="00C07923"/>
    <w:pPr>
      <w:ind w:left="566" w:hanging="283"/>
      <w:contextualSpacing/>
    </w:pPr>
  </w:style>
  <w:style w:type="paragraph" w:customStyle="1" w:styleId="NumberedHeading4">
    <w:name w:val="Numbered Heading 4"/>
    <w:basedOn w:val="Heading4"/>
    <w:rsid w:val="00C07923"/>
    <w:pPr>
      <w:ind w:left="1021" w:hanging="1021"/>
    </w:pPr>
    <w:rPr>
      <w:b w:val="0"/>
      <w:caps/>
    </w:rPr>
  </w:style>
  <w:style w:type="numbering" w:customStyle="1" w:styleId="ListLetters">
    <w:name w:val="List Letters"/>
    <w:uiPriority w:val="99"/>
    <w:rsid w:val="00C07923"/>
    <w:pPr>
      <w:numPr>
        <w:numId w:val="23"/>
      </w:numPr>
    </w:pPr>
  </w:style>
  <w:style w:type="table" w:styleId="TableGrid">
    <w:name w:val="Table Grid"/>
    <w:basedOn w:val="TableNormal"/>
    <w:uiPriority w:val="39"/>
    <w:rsid w:val="00C07923"/>
    <w:pPr>
      <w:spacing w:after="0" w:line="240" w:lineRule="auto"/>
    </w:pPr>
    <w:rPr>
      <w:sz w:val="20"/>
    </w:rPr>
    <w:tblPr>
      <w:tblStyleRowBandSize w:val="1"/>
      <w:tblCellMar>
        <w:top w:w="57" w:type="dxa"/>
        <w:left w:w="57" w:type="dxa"/>
        <w:bottom w:w="57" w:type="dxa"/>
        <w:right w:w="85" w:type="dxa"/>
      </w:tblCellMar>
    </w:tblPr>
    <w:tblStylePr w:type="firstRow">
      <w:rPr>
        <w:b/>
        <w:color w:val="FFFFFF" w:themeColor="background1"/>
      </w:rPr>
      <w:tblPr/>
      <w:tcPr>
        <w:shd w:val="clear" w:color="auto" w:fill="094183" w:themeFill="text2"/>
      </w:tcPr>
    </w:tblStylePr>
    <w:tblStylePr w:type="lastRow">
      <w:tblPr/>
      <w:tcPr>
        <w:tcBorders>
          <w:top w:val="single" w:sz="8" w:space="0" w:color="FFFFFF" w:themeColor="background2"/>
          <w:left w:val="nil"/>
          <w:bottom w:val="nil"/>
          <w:right w:val="nil"/>
          <w:insideH w:val="nil"/>
          <w:insideV w:val="nil"/>
          <w:tl2br w:val="nil"/>
          <w:tr2bl w:val="nil"/>
        </w:tcBorders>
        <w:shd w:val="clear" w:color="auto" w:fill="F2F2F2" w:themeFill="background1" w:themeFillShade="F2"/>
      </w:tcPr>
    </w:tblStylePr>
    <w:tblStylePr w:type="firstCol">
      <w:rPr>
        <w:b/>
      </w:rPr>
    </w:tblStylePr>
    <w:tblStylePr w:type="lastCol">
      <w:pPr>
        <w:wordWrap/>
        <w:jc w:val="right"/>
      </w:p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Caption">
    <w:name w:val="caption"/>
    <w:basedOn w:val="Normal"/>
    <w:next w:val="Normal"/>
    <w:uiPriority w:val="35"/>
    <w:unhideWhenUsed/>
    <w:rsid w:val="00C07923"/>
    <w:pPr>
      <w:spacing w:after="200" w:line="240" w:lineRule="auto"/>
    </w:pPr>
    <w:rPr>
      <w:b/>
      <w:iCs/>
      <w:sz w:val="24"/>
      <w:szCs w:val="18"/>
    </w:rPr>
  </w:style>
  <w:style w:type="paragraph" w:styleId="Quote">
    <w:name w:val="Quote"/>
    <w:basedOn w:val="Normal"/>
    <w:next w:val="Normal"/>
    <w:link w:val="QuoteChar"/>
    <w:uiPriority w:val="29"/>
    <w:rsid w:val="00C07923"/>
    <w:pPr>
      <w:spacing w:before="200" w:after="160" w:line="312" w:lineRule="auto"/>
      <w:ind w:left="340" w:right="862"/>
    </w:pPr>
    <w:rPr>
      <w:rFonts w:eastAsiaTheme="minorHAnsi"/>
      <w:i/>
      <w:iCs/>
      <w:color w:val="094183" w:themeColor="text2"/>
      <w:sz w:val="24"/>
      <w:lang w:eastAsia="en-US"/>
    </w:rPr>
  </w:style>
  <w:style w:type="character" w:customStyle="1" w:styleId="QuoteChar">
    <w:name w:val="Quote Char"/>
    <w:basedOn w:val="DefaultParagraphFont"/>
    <w:link w:val="Quote"/>
    <w:uiPriority w:val="29"/>
    <w:rsid w:val="00C07923"/>
    <w:rPr>
      <w:rFonts w:eastAsiaTheme="minorHAnsi"/>
      <w:i/>
      <w:iCs/>
      <w:color w:val="094183" w:themeColor="text2"/>
      <w:sz w:val="24"/>
      <w:lang w:eastAsia="en-US"/>
    </w:rPr>
  </w:style>
  <w:style w:type="paragraph" w:customStyle="1" w:styleId="Title-White">
    <w:name w:val="Title - White"/>
    <w:basedOn w:val="Title"/>
    <w:link w:val="Title-WhiteChar"/>
    <w:qFormat/>
    <w:rsid w:val="005B00AD"/>
    <w:pPr>
      <w:framePr w:wrap="around"/>
    </w:pPr>
    <w:rPr>
      <w:color w:val="FFFFFF" w:themeColor="background1"/>
    </w:rPr>
  </w:style>
  <w:style w:type="paragraph" w:customStyle="1" w:styleId="Subtitle-White">
    <w:name w:val="Subtitle - White"/>
    <w:basedOn w:val="Subtitle"/>
    <w:link w:val="Subtitle-WhiteChar"/>
    <w:qFormat/>
    <w:rsid w:val="005B00AD"/>
    <w:pPr>
      <w:framePr w:wrap="around"/>
    </w:pPr>
    <w:rPr>
      <w:color w:val="FFFFFF" w:themeColor="background1"/>
    </w:rPr>
  </w:style>
  <w:style w:type="character" w:customStyle="1" w:styleId="Title-WhiteChar">
    <w:name w:val="Title - White Char"/>
    <w:basedOn w:val="TitleChar"/>
    <w:link w:val="Title-White"/>
    <w:rsid w:val="005B00AD"/>
    <w:rPr>
      <w:rFonts w:asciiTheme="majorHAnsi" w:eastAsiaTheme="majorEastAsia" w:hAnsiTheme="majorHAnsi" w:cstheme="majorBidi"/>
      <w:b/>
      <w:color w:val="FFFFFF" w:themeColor="background1"/>
      <w:spacing w:val="-10"/>
      <w:kern w:val="28"/>
      <w:sz w:val="48"/>
      <w:szCs w:val="56"/>
    </w:rPr>
  </w:style>
  <w:style w:type="paragraph" w:styleId="NormalWeb">
    <w:name w:val="Normal (Web)"/>
    <w:basedOn w:val="Normal"/>
    <w:uiPriority w:val="99"/>
    <w:semiHidden/>
    <w:unhideWhenUsed/>
    <w:rsid w:val="00C55EEB"/>
    <w:pPr>
      <w:spacing w:before="100" w:beforeAutospacing="1" w:after="100" w:afterAutospacing="1" w:line="240" w:lineRule="auto"/>
    </w:pPr>
    <w:rPr>
      <w:rFonts w:ascii="Times New Roman" w:eastAsia="SimSun" w:hAnsi="Times New Roman" w:cs="Times New Roman"/>
      <w:sz w:val="24"/>
      <w:szCs w:val="24"/>
    </w:rPr>
  </w:style>
  <w:style w:type="paragraph" w:customStyle="1" w:styleId="Logo">
    <w:name w:val="Logo"/>
    <w:basedOn w:val="Normal"/>
    <w:qFormat/>
    <w:rsid w:val="001A1790"/>
    <w:pPr>
      <w:spacing w:after="240"/>
    </w:pPr>
  </w:style>
  <w:style w:type="paragraph" w:customStyle="1" w:styleId="Identifier">
    <w:name w:val="Identifier"/>
    <w:basedOn w:val="Normal"/>
    <w:qFormat/>
    <w:rsid w:val="001A1790"/>
    <w:pPr>
      <w:spacing w:before="120" w:after="360"/>
      <w:contextualSpacing/>
    </w:pPr>
    <w:rPr>
      <w:color w:val="094183" w:themeColor="text2"/>
      <w:sz w:val="28"/>
    </w:rPr>
  </w:style>
  <w:style w:type="paragraph" w:customStyle="1" w:styleId="Cornergraphic">
    <w:name w:val="Corner graphic"/>
    <w:basedOn w:val="Normal"/>
    <w:qFormat/>
    <w:rsid w:val="007976A1"/>
    <w:pPr>
      <w:framePr w:wrap="around" w:vAnchor="page" w:hAnchor="page" w:xAlign="right" w:yAlign="bottom" w:anchorLock="1"/>
      <w:spacing w:after="160" w:line="192" w:lineRule="auto"/>
      <w:jc w:val="right"/>
    </w:pPr>
    <w:rPr>
      <w:position w:val="-80"/>
    </w:rPr>
  </w:style>
  <w:style w:type="numbering" w:customStyle="1" w:styleId="Bullets1">
    <w:name w:val="Bullets1"/>
    <w:uiPriority w:val="99"/>
    <w:rsid w:val="00695166"/>
    <w:pPr>
      <w:numPr>
        <w:numId w:val="30"/>
      </w:numPr>
    </w:pPr>
  </w:style>
  <w:style w:type="paragraph" w:customStyle="1" w:styleId="Introduction">
    <w:name w:val="Introduction"/>
    <w:basedOn w:val="Normal"/>
    <w:link w:val="IntroductionChar"/>
    <w:qFormat/>
    <w:rsid w:val="00695166"/>
    <w:pPr>
      <w:keepNext/>
      <w:keepLines/>
      <w:spacing w:after="0" w:line="216" w:lineRule="auto"/>
      <w:outlineLvl w:val="0"/>
    </w:pPr>
    <w:rPr>
      <w:rFonts w:ascii="Calibri" w:eastAsia="SimHei" w:hAnsi="Calibri" w:cs="Times New Roman"/>
      <w:color w:val="094183"/>
      <w:sz w:val="28"/>
      <w:szCs w:val="32"/>
      <w:lang w:eastAsia="en-US"/>
    </w:rPr>
  </w:style>
  <w:style w:type="paragraph" w:customStyle="1" w:styleId="Pull-outBodyCopy">
    <w:name w:val="Pull-out Body Copy"/>
    <w:basedOn w:val="Normal"/>
    <w:link w:val="Pull-outBodyCopyChar"/>
    <w:qFormat/>
    <w:rsid w:val="00695166"/>
    <w:pPr>
      <w:pBdr>
        <w:top w:val="single" w:sz="4" w:space="6" w:color="094183" w:themeColor="text2"/>
        <w:left w:val="single" w:sz="4" w:space="6" w:color="094183" w:themeColor="text2"/>
        <w:bottom w:val="single" w:sz="4" w:space="6" w:color="094183" w:themeColor="text2"/>
        <w:right w:val="single" w:sz="4" w:space="6" w:color="094183" w:themeColor="text2"/>
      </w:pBdr>
      <w:shd w:val="clear" w:color="auto" w:fill="094183" w:themeFill="text2"/>
      <w:spacing w:before="80" w:after="80" w:line="312" w:lineRule="auto"/>
      <w:ind w:left="170" w:right="170"/>
    </w:pPr>
    <w:rPr>
      <w:rFonts w:eastAsiaTheme="minorHAnsi"/>
      <w:color w:val="FFFFFF" w:themeColor="background1"/>
      <w:lang w:eastAsia="en-US"/>
    </w:rPr>
  </w:style>
  <w:style w:type="character" w:customStyle="1" w:styleId="IntroductionChar">
    <w:name w:val="Introduction Char"/>
    <w:basedOn w:val="DefaultParagraphFont"/>
    <w:link w:val="Introduction"/>
    <w:rsid w:val="00695166"/>
    <w:rPr>
      <w:rFonts w:ascii="Calibri" w:eastAsia="SimHei" w:hAnsi="Calibri" w:cs="Times New Roman"/>
      <w:color w:val="094183"/>
      <w:sz w:val="28"/>
      <w:szCs w:val="32"/>
      <w:lang w:eastAsia="en-US"/>
    </w:rPr>
  </w:style>
  <w:style w:type="paragraph" w:customStyle="1" w:styleId="Pull-outHeading">
    <w:name w:val="Pull-out Heading"/>
    <w:basedOn w:val="Pull-outBodyCopy"/>
    <w:link w:val="Pull-outHeadingChar"/>
    <w:qFormat/>
    <w:rsid w:val="00695166"/>
    <w:rPr>
      <w:b/>
    </w:rPr>
  </w:style>
  <w:style w:type="character" w:customStyle="1" w:styleId="Pull-outBodyCopyChar">
    <w:name w:val="Pull-out Body Copy Char"/>
    <w:basedOn w:val="DefaultParagraphFont"/>
    <w:link w:val="Pull-outBodyCopy"/>
    <w:rsid w:val="00695166"/>
    <w:rPr>
      <w:rFonts w:eastAsiaTheme="minorHAnsi"/>
      <w:color w:val="FFFFFF" w:themeColor="background1"/>
      <w:sz w:val="20"/>
      <w:shd w:val="clear" w:color="auto" w:fill="094183" w:themeFill="text2"/>
      <w:lang w:eastAsia="en-US"/>
    </w:rPr>
  </w:style>
  <w:style w:type="paragraph" w:styleId="ListParagraph">
    <w:name w:val="List Paragraph"/>
    <w:basedOn w:val="Normal"/>
    <w:uiPriority w:val="34"/>
    <w:qFormat/>
    <w:rsid w:val="000E5133"/>
    <w:pPr>
      <w:ind w:left="340"/>
    </w:pPr>
  </w:style>
  <w:style w:type="character" w:customStyle="1" w:styleId="Pull-outHeadingChar">
    <w:name w:val="Pull-out Heading Char"/>
    <w:basedOn w:val="DefaultParagraphFont"/>
    <w:link w:val="Pull-outHeading"/>
    <w:rsid w:val="00695166"/>
    <w:rPr>
      <w:rFonts w:eastAsiaTheme="minorHAnsi"/>
      <w:b/>
      <w:color w:val="FFFFFF" w:themeColor="background1"/>
      <w:sz w:val="20"/>
      <w:shd w:val="clear" w:color="auto" w:fill="094183" w:themeFill="text2"/>
      <w:lang w:eastAsia="en-US"/>
    </w:rPr>
  </w:style>
  <w:style w:type="paragraph" w:customStyle="1" w:styleId="Pull-outBullets">
    <w:name w:val="Pull-out Bullets"/>
    <w:basedOn w:val="Pull-outBodyCopy"/>
    <w:link w:val="Pull-outBulletsChar"/>
    <w:qFormat/>
    <w:rsid w:val="00695166"/>
    <w:pPr>
      <w:numPr>
        <w:numId w:val="25"/>
      </w:numPr>
      <w:ind w:left="397" w:hanging="227"/>
    </w:pPr>
  </w:style>
  <w:style w:type="character" w:customStyle="1" w:styleId="Pull-outBulletsChar">
    <w:name w:val="Pull-out Bullets Char"/>
    <w:basedOn w:val="Pull-outBodyCopyChar"/>
    <w:link w:val="Pull-outBullets"/>
    <w:rsid w:val="00695166"/>
    <w:rPr>
      <w:rFonts w:eastAsiaTheme="minorHAnsi"/>
      <w:color w:val="FFFFFF" w:themeColor="background1"/>
      <w:sz w:val="20"/>
      <w:shd w:val="clear" w:color="auto" w:fill="094183" w:themeFill="text2"/>
      <w:lang w:eastAsia="en-US"/>
    </w:rPr>
  </w:style>
  <w:style w:type="character" w:customStyle="1" w:styleId="Subtitle-WhiteChar">
    <w:name w:val="Subtitle - White Char"/>
    <w:basedOn w:val="SubtitleChar"/>
    <w:link w:val="Subtitle-White"/>
    <w:rsid w:val="005B00AD"/>
    <w:rPr>
      <w:color w:val="FFFFFF" w:themeColor="background1"/>
      <w:sz w:val="32"/>
    </w:rPr>
  </w:style>
  <w:style w:type="paragraph" w:customStyle="1" w:styleId="Title-Divider">
    <w:name w:val="Title - Divider"/>
    <w:basedOn w:val="Title"/>
    <w:link w:val="Title-DividerChar"/>
    <w:qFormat/>
    <w:rsid w:val="00601E2F"/>
    <w:pPr>
      <w:framePr w:w="7371" w:wrap="notBeside" w:y="1078"/>
      <w:spacing w:after="310"/>
      <w:outlineLvl w:val="0"/>
    </w:pPr>
    <w:rPr>
      <w:spacing w:val="0"/>
    </w:rPr>
  </w:style>
  <w:style w:type="paragraph" w:customStyle="1" w:styleId="Subtitle-Divider">
    <w:name w:val="Subtitle - Divider"/>
    <w:basedOn w:val="Title-Divider"/>
    <w:link w:val="Subtitle-DividerChar"/>
    <w:qFormat/>
    <w:rsid w:val="00F962A9"/>
    <w:pPr>
      <w:framePr w:wrap="notBeside"/>
      <w:outlineLvl w:val="9"/>
    </w:pPr>
    <w:rPr>
      <w:rFonts w:asciiTheme="minorHAnsi" w:hAnsiTheme="minorHAnsi"/>
      <w:b w:val="0"/>
      <w:color w:val="000000" w:themeColor="text1"/>
      <w:sz w:val="32"/>
      <w:lang w:eastAsia="en-US"/>
    </w:rPr>
  </w:style>
  <w:style w:type="character" w:customStyle="1" w:styleId="Title-DividerChar">
    <w:name w:val="Title - Divider Char"/>
    <w:basedOn w:val="TitleChar"/>
    <w:link w:val="Title-Divider"/>
    <w:rsid w:val="00601E2F"/>
    <w:rPr>
      <w:rFonts w:asciiTheme="majorHAnsi" w:eastAsiaTheme="majorEastAsia" w:hAnsiTheme="majorHAnsi" w:cstheme="majorBidi"/>
      <w:b/>
      <w:color w:val="094183" w:themeColor="text2"/>
      <w:spacing w:val="-10"/>
      <w:kern w:val="28"/>
      <w:sz w:val="48"/>
      <w:szCs w:val="56"/>
    </w:rPr>
  </w:style>
  <w:style w:type="paragraph" w:customStyle="1" w:styleId="Footerlocation">
    <w:name w:val="Footer location"/>
    <w:unhideWhenUsed/>
    <w:rsid w:val="000E78EF"/>
    <w:pPr>
      <w:framePr w:w="9639" w:vSpace="567" w:wrap="around" w:hAnchor="margin" w:yAlign="bottom" w:anchorLock="1"/>
      <w:spacing w:after="0" w:line="240" w:lineRule="auto"/>
    </w:pPr>
    <w:rPr>
      <w:rFonts w:eastAsiaTheme="minorHAnsi"/>
      <w:b/>
      <w:color w:val="094183" w:themeColor="text2"/>
      <w:sz w:val="18"/>
      <w:lang w:eastAsia="en-US"/>
    </w:rPr>
  </w:style>
  <w:style w:type="character" w:customStyle="1" w:styleId="Subtitle-DividerChar">
    <w:name w:val="Subtitle - Divider Char"/>
    <w:basedOn w:val="SubtitleChar"/>
    <w:link w:val="Subtitle-Divider"/>
    <w:rsid w:val="00F962A9"/>
    <w:rPr>
      <w:rFonts w:eastAsiaTheme="majorEastAsia" w:cstheme="majorBidi"/>
      <w:color w:val="000000" w:themeColor="text1"/>
      <w:kern w:val="28"/>
      <w:sz w:val="32"/>
      <w:szCs w:val="56"/>
      <w:lang w:eastAsia="en-US"/>
    </w:rPr>
  </w:style>
  <w:style w:type="table" w:customStyle="1" w:styleId="Blank">
    <w:name w:val="Blank"/>
    <w:basedOn w:val="TableNormal"/>
    <w:uiPriority w:val="99"/>
    <w:rsid w:val="009D200D"/>
    <w:pPr>
      <w:spacing w:after="0" w:line="240" w:lineRule="auto"/>
    </w:pPr>
    <w:rPr>
      <w:rFonts w:eastAsiaTheme="minorHAnsi"/>
      <w:lang w:eastAsia="en-US"/>
    </w:rPr>
    <w:tblPr>
      <w:tblCellMar>
        <w:top w:w="57" w:type="dxa"/>
        <w:left w:w="0" w:type="dxa"/>
        <w:right w:w="113" w:type="dxa"/>
      </w:tblCellMar>
    </w:tblPr>
  </w:style>
  <w:style w:type="paragraph" w:customStyle="1" w:styleId="EndPageGraphic">
    <w:name w:val="End Page Graphic"/>
    <w:basedOn w:val="Normal"/>
    <w:link w:val="EndPageGraphicChar"/>
    <w:rsid w:val="000E78EF"/>
    <w:pPr>
      <w:framePr w:wrap="notBeside" w:vAnchor="page" w:hAnchor="page" w:y="1" w:anchorLock="1"/>
    </w:pPr>
  </w:style>
  <w:style w:type="character" w:customStyle="1" w:styleId="EndPageGraphicChar">
    <w:name w:val="End Page Graphic Char"/>
    <w:basedOn w:val="DefaultParagraphFont"/>
    <w:link w:val="EndPageGraphic"/>
    <w:rsid w:val="000E78EF"/>
    <w:rPr>
      <w:sz w:val="20"/>
    </w:rPr>
  </w:style>
  <w:style w:type="character" w:styleId="Strong">
    <w:name w:val="Strong"/>
    <w:basedOn w:val="DefaultParagraphFont"/>
    <w:uiPriority w:val="22"/>
    <w:rsid w:val="005B2E59"/>
    <w:rPr>
      <w:b/>
      <w:bCs/>
    </w:rPr>
  </w:style>
  <w:style w:type="paragraph" w:customStyle="1" w:styleId="Topleft">
    <w:name w:val="Top left"/>
    <w:basedOn w:val="Logo"/>
    <w:rsid w:val="007D029B"/>
    <w:pPr>
      <w:framePr w:w="11907" w:wrap="around" w:vAnchor="page" w:hAnchor="page" w:yAlign="top" w:anchorLock="1"/>
    </w:pPr>
    <w:rPr>
      <w:noProof/>
    </w:rPr>
  </w:style>
  <w:style w:type="paragraph" w:customStyle="1" w:styleId="Footerright">
    <w:name w:val="Footer right"/>
    <w:basedOn w:val="Normal"/>
    <w:rsid w:val="00A02E4C"/>
    <w:pPr>
      <w:framePr w:w="1701" w:h="1043" w:hRule="exact" w:wrap="around" w:vAnchor="page" w:hAnchor="margin" w:xAlign="right" w:yAlign="bottom" w:anchorLock="1"/>
      <w:tabs>
        <w:tab w:val="center" w:pos="4513"/>
        <w:tab w:val="right" w:pos="9026"/>
      </w:tabs>
      <w:spacing w:after="0" w:line="240" w:lineRule="auto"/>
      <w:jc w:val="right"/>
    </w:pPr>
    <w:rPr>
      <w:color w:val="094183" w:themeColor="text2"/>
    </w:rPr>
  </w:style>
  <w:style w:type="paragraph" w:customStyle="1" w:styleId="Topleft-backpage">
    <w:name w:val="Top left - back page"/>
    <w:basedOn w:val="Topleft"/>
    <w:rsid w:val="00074A6B"/>
    <w:pPr>
      <w:pageBreakBefore/>
      <w:framePr w:wrap="around"/>
    </w:pPr>
  </w:style>
  <w:style w:type="paragraph" w:customStyle="1" w:styleId="IdentifierDash">
    <w:name w:val="Identifier Dash"/>
    <w:basedOn w:val="Identifier"/>
    <w:rsid w:val="00C92357"/>
    <w:pPr>
      <w:spacing w:before="600" w:after="0" w:line="168" w:lineRule="auto"/>
    </w:pPr>
    <w:rPr>
      <w:sz w:val="40"/>
      <w:szCs w:val="40"/>
    </w:rPr>
  </w:style>
  <w:style w:type="paragraph" w:customStyle="1" w:styleId="IdentifierDash-White">
    <w:name w:val="Identifier Dash-White"/>
    <w:basedOn w:val="IdentifierDash"/>
    <w:qFormat/>
    <w:rsid w:val="0018540E"/>
    <w:pPr>
      <w:spacing w:before="200"/>
    </w:pPr>
    <w:rPr>
      <w:color w:val="FFFFFF" w:themeColor="background1"/>
    </w:rPr>
  </w:style>
  <w:style w:type="paragraph" w:customStyle="1" w:styleId="IdentifierDash-Blue">
    <w:name w:val="Identifier Dash-Blue"/>
    <w:basedOn w:val="IdentifierDash-White"/>
    <w:qFormat/>
    <w:rsid w:val="00FF27CC"/>
    <w:rPr>
      <w:color w:val="094183" w:themeColor="text2"/>
    </w:rPr>
  </w:style>
  <w:style w:type="paragraph" w:styleId="TableofFigures">
    <w:name w:val="table of figures"/>
    <w:basedOn w:val="TOC2"/>
    <w:next w:val="Normal"/>
    <w:uiPriority w:val="99"/>
    <w:unhideWhenUsed/>
    <w:rsid w:val="00EB381E"/>
    <w:rPr>
      <w:noProof/>
    </w:rPr>
  </w:style>
  <w:style w:type="paragraph" w:styleId="Revision">
    <w:name w:val="Revision"/>
    <w:hidden/>
    <w:uiPriority w:val="99"/>
    <w:semiHidden/>
    <w:rsid w:val="002F5453"/>
    <w:pPr>
      <w:spacing w:after="0" w:line="240" w:lineRule="auto"/>
    </w:pPr>
  </w:style>
  <w:style w:type="character" w:customStyle="1" w:styleId="UnresolvedMention1">
    <w:name w:val="Unresolved Mention1"/>
    <w:basedOn w:val="DefaultParagraphFont"/>
    <w:uiPriority w:val="99"/>
    <w:semiHidden/>
    <w:unhideWhenUsed/>
    <w:rsid w:val="002A16D5"/>
    <w:rPr>
      <w:color w:val="605E5C"/>
      <w:shd w:val="clear" w:color="auto" w:fill="E1DFDD"/>
    </w:rPr>
  </w:style>
  <w:style w:type="character" w:styleId="CommentReference">
    <w:name w:val="annotation reference"/>
    <w:basedOn w:val="DefaultParagraphFont"/>
    <w:uiPriority w:val="99"/>
    <w:semiHidden/>
    <w:unhideWhenUsed/>
    <w:rsid w:val="0061355B"/>
    <w:rPr>
      <w:sz w:val="16"/>
      <w:szCs w:val="16"/>
    </w:rPr>
  </w:style>
  <w:style w:type="paragraph" w:styleId="CommentText">
    <w:name w:val="annotation text"/>
    <w:basedOn w:val="Normal"/>
    <w:link w:val="CommentTextChar"/>
    <w:uiPriority w:val="99"/>
    <w:unhideWhenUsed/>
    <w:rsid w:val="0061355B"/>
    <w:pPr>
      <w:spacing w:after="160" w:line="240" w:lineRule="auto"/>
    </w:pPr>
    <w:rPr>
      <w:rFonts w:ascii="Helvetica" w:eastAsiaTheme="minorHAnsi" w:hAnsi="Helvetica" w:cs="Helvetica"/>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61355B"/>
    <w:rPr>
      <w:rFonts w:ascii="Helvetica" w:eastAsiaTheme="minorHAnsi" w:hAnsi="Helvetica" w:cs="Helvetica"/>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1820FA"/>
    <w:pPr>
      <w:spacing w:after="120"/>
    </w:pPr>
    <w:rPr>
      <w:rFonts w:asciiTheme="minorHAnsi" w:eastAsiaTheme="minorEastAsia" w:hAnsiTheme="minorHAnsi" w:cstheme="minorBidi"/>
      <w:b/>
      <w:bCs/>
      <w:kern w:val="0"/>
      <w:lang w:eastAsia="zh-CN"/>
      <w14:ligatures w14:val="none"/>
    </w:rPr>
  </w:style>
  <w:style w:type="character" w:customStyle="1" w:styleId="CommentSubjectChar">
    <w:name w:val="Comment Subject Char"/>
    <w:basedOn w:val="CommentTextChar"/>
    <w:link w:val="CommentSubject"/>
    <w:uiPriority w:val="99"/>
    <w:semiHidden/>
    <w:rsid w:val="001820FA"/>
    <w:rPr>
      <w:rFonts w:ascii="Helvetica" w:eastAsiaTheme="minorHAnsi" w:hAnsi="Helvetica" w:cs="Helvetica"/>
      <w:b/>
      <w:bCs/>
      <w:kern w:val="2"/>
      <w:sz w:val="20"/>
      <w:szCs w:val="20"/>
      <w:lang w:eastAsia="en-US"/>
      <w14:ligatures w14:val="standardContextual"/>
    </w:rPr>
  </w:style>
  <w:style w:type="paragraph" w:styleId="Bibliography">
    <w:name w:val="Bibliography"/>
    <w:basedOn w:val="Normal"/>
    <w:next w:val="Normal"/>
    <w:uiPriority w:val="37"/>
    <w:unhideWhenUsed/>
    <w:rsid w:val="00174FCE"/>
    <w:pPr>
      <w:spacing w:after="0" w:line="480" w:lineRule="auto"/>
      <w:ind w:left="720" w:hanging="720"/>
    </w:pPr>
  </w:style>
  <w:style w:type="paragraph" w:styleId="BalloonText">
    <w:name w:val="Balloon Text"/>
    <w:basedOn w:val="Normal"/>
    <w:link w:val="BalloonTextChar"/>
    <w:uiPriority w:val="99"/>
    <w:semiHidden/>
    <w:unhideWhenUsed/>
    <w:rsid w:val="000839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906"/>
    <w:rPr>
      <w:rFonts w:ascii="Segoe UI" w:hAnsi="Segoe UI" w:cs="Segoe UI"/>
      <w:sz w:val="18"/>
      <w:szCs w:val="18"/>
    </w:rPr>
  </w:style>
  <w:style w:type="character" w:customStyle="1" w:styleId="UnresolvedMention2">
    <w:name w:val="Unresolved Mention2"/>
    <w:basedOn w:val="DefaultParagraphFont"/>
    <w:uiPriority w:val="99"/>
    <w:semiHidden/>
    <w:unhideWhenUsed/>
    <w:rsid w:val="00EE1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0751">
      <w:bodyDiv w:val="1"/>
      <w:marLeft w:val="0"/>
      <w:marRight w:val="0"/>
      <w:marTop w:val="0"/>
      <w:marBottom w:val="0"/>
      <w:divBdr>
        <w:top w:val="none" w:sz="0" w:space="0" w:color="auto"/>
        <w:left w:val="none" w:sz="0" w:space="0" w:color="auto"/>
        <w:bottom w:val="none" w:sz="0" w:space="0" w:color="auto"/>
        <w:right w:val="none" w:sz="0" w:space="0" w:color="auto"/>
      </w:divBdr>
    </w:div>
    <w:div w:id="402336432">
      <w:bodyDiv w:val="1"/>
      <w:marLeft w:val="0"/>
      <w:marRight w:val="0"/>
      <w:marTop w:val="0"/>
      <w:marBottom w:val="0"/>
      <w:divBdr>
        <w:top w:val="none" w:sz="0" w:space="0" w:color="auto"/>
        <w:left w:val="none" w:sz="0" w:space="0" w:color="auto"/>
        <w:bottom w:val="none" w:sz="0" w:space="0" w:color="auto"/>
        <w:right w:val="none" w:sz="0" w:space="0" w:color="auto"/>
      </w:divBdr>
    </w:div>
    <w:div w:id="831674839">
      <w:bodyDiv w:val="1"/>
      <w:marLeft w:val="0"/>
      <w:marRight w:val="0"/>
      <w:marTop w:val="0"/>
      <w:marBottom w:val="0"/>
      <w:divBdr>
        <w:top w:val="none" w:sz="0" w:space="0" w:color="auto"/>
        <w:left w:val="none" w:sz="0" w:space="0" w:color="auto"/>
        <w:bottom w:val="none" w:sz="0" w:space="0" w:color="auto"/>
        <w:right w:val="none" w:sz="0" w:space="0" w:color="auto"/>
      </w:divBdr>
    </w:div>
    <w:div w:id="126707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haviouraleconomics.pmc.gov.au/blog/strengthening-links-academia" TargetMode="External"/><Relationship Id="rId5" Type="http://schemas.openxmlformats.org/officeDocument/2006/relationships/webSettings" Target="webSettings.xml"/><Relationship Id="rId15" Type="http://schemas.openxmlformats.org/officeDocument/2006/relationships/footer" Target="footer2.xml"/><Relationship Id="rId28" Type="http://schemas.microsoft.com/office/2016/09/relationships/commentsIds" Target="commentsIds.xml"/><Relationship Id="rId10" Type="http://schemas.openxmlformats.org/officeDocument/2006/relationships/hyperlink" Target="https://socialsciences.org.au/roundtables/" TargetMode="External"/><Relationship Id="rId4" Type="http://schemas.openxmlformats.org/officeDocument/2006/relationships/settings" Target="settings.xml"/><Relationship Id="rId9" Type="http://schemas.openxmlformats.org/officeDocument/2006/relationships/hyperlink" Target="https://www.gov.uk/government/collections/areas-of-research-interest" TargetMode="External"/><Relationship Id="rId14" Type="http://schemas.openxmlformats.org/officeDocument/2006/relationships/hyperlink" Target="https://www.gov.uk/guidance/what-works-network" TargetMode="External"/></Relationships>
</file>

<file path=word/theme/theme1.xml><?xml version="1.0" encoding="utf-8"?>
<a:theme xmlns:a="http://schemas.openxmlformats.org/drawingml/2006/main" name="Office Theme">
  <a:themeElements>
    <a:clrScheme name="University of Melbourne">
      <a:dk1>
        <a:sysClr val="windowText" lastClr="000000"/>
      </a:dk1>
      <a:lt1>
        <a:sysClr val="window" lastClr="FFFFFF"/>
      </a:lt1>
      <a:dk2>
        <a:srgbClr val="094183"/>
      </a:dk2>
      <a:lt2>
        <a:srgbClr val="FFFFFF"/>
      </a:lt2>
      <a:accent1>
        <a:srgbClr val="094183"/>
      </a:accent1>
      <a:accent2>
        <a:srgbClr val="4597AD"/>
      </a:accent2>
      <a:accent3>
        <a:srgbClr val="6DAF7F"/>
      </a:accent3>
      <a:accent4>
        <a:srgbClr val="5D7FBE"/>
      </a:accent4>
      <a:accent5>
        <a:srgbClr val="DDAD6A"/>
      </a:accent5>
      <a:accent6>
        <a:srgbClr val="D1694C"/>
      </a:accent6>
      <a:hlink>
        <a:srgbClr val="000000"/>
      </a:hlink>
      <a:folHlink>
        <a:srgbClr val="000000"/>
      </a:folHlink>
    </a:clrScheme>
    <a:fontScheme name="University of Melbourne">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E9060-7973-4E32-8C9E-00E0E55C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21829</Words>
  <Characters>124429</Characters>
  <Application>Microsoft Office Word</Application>
  <DocSecurity>4</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145967</CharactersWithSpaces>
  <SharedDoc>false</SharedDoc>
  <HLinks>
    <vt:vector size="168" baseType="variant">
      <vt:variant>
        <vt:i4>589903</vt:i4>
      </vt:variant>
      <vt:variant>
        <vt:i4>216</vt:i4>
      </vt:variant>
      <vt:variant>
        <vt:i4>0</vt:i4>
      </vt:variant>
      <vt:variant>
        <vt:i4>5</vt:i4>
      </vt:variant>
      <vt:variant>
        <vt:lpwstr>https://www.gov.uk/government/collections/areas-of-research-interest</vt:lpwstr>
      </vt:variant>
      <vt:variant>
        <vt:lpwstr/>
      </vt:variant>
      <vt:variant>
        <vt:i4>3473507</vt:i4>
      </vt:variant>
      <vt:variant>
        <vt:i4>210</vt:i4>
      </vt:variant>
      <vt:variant>
        <vt:i4>0</vt:i4>
      </vt:variant>
      <vt:variant>
        <vt:i4>5</vt:i4>
      </vt:variant>
      <vt:variant>
        <vt:lpwstr>https://www.gov.uk/guidance/what-works-network</vt:lpwstr>
      </vt:variant>
      <vt:variant>
        <vt:lpwstr/>
      </vt:variant>
      <vt:variant>
        <vt:i4>1245268</vt:i4>
      </vt:variant>
      <vt:variant>
        <vt:i4>150</vt:i4>
      </vt:variant>
      <vt:variant>
        <vt:i4>0</vt:i4>
      </vt:variant>
      <vt:variant>
        <vt:i4>5</vt:i4>
      </vt:variant>
      <vt:variant>
        <vt:lpwstr>https://www.datacommissioner.gov.au/</vt:lpwstr>
      </vt:variant>
      <vt:variant>
        <vt:lpwstr/>
      </vt:variant>
      <vt:variant>
        <vt:i4>2162733</vt:i4>
      </vt:variant>
      <vt:variant>
        <vt:i4>147</vt:i4>
      </vt:variant>
      <vt:variant>
        <vt:i4>0</vt:i4>
      </vt:variant>
      <vt:variant>
        <vt:i4>5</vt:i4>
      </vt:variant>
      <vt:variant>
        <vt:lpwstr>https://oia.pmc.gov.au/</vt:lpwstr>
      </vt:variant>
      <vt:variant>
        <vt:lpwstr/>
      </vt:variant>
      <vt:variant>
        <vt:i4>1048632</vt:i4>
      </vt:variant>
      <vt:variant>
        <vt:i4>140</vt:i4>
      </vt:variant>
      <vt:variant>
        <vt:i4>0</vt:i4>
      </vt:variant>
      <vt:variant>
        <vt:i4>5</vt:i4>
      </vt:variant>
      <vt:variant>
        <vt:lpwstr/>
      </vt:variant>
      <vt:variant>
        <vt:lpwstr>_Toc138166737</vt:lpwstr>
      </vt:variant>
      <vt:variant>
        <vt:i4>1048632</vt:i4>
      </vt:variant>
      <vt:variant>
        <vt:i4>134</vt:i4>
      </vt:variant>
      <vt:variant>
        <vt:i4>0</vt:i4>
      </vt:variant>
      <vt:variant>
        <vt:i4>5</vt:i4>
      </vt:variant>
      <vt:variant>
        <vt:lpwstr/>
      </vt:variant>
      <vt:variant>
        <vt:lpwstr>_Toc138166736</vt:lpwstr>
      </vt:variant>
      <vt:variant>
        <vt:i4>1048632</vt:i4>
      </vt:variant>
      <vt:variant>
        <vt:i4>128</vt:i4>
      </vt:variant>
      <vt:variant>
        <vt:i4>0</vt:i4>
      </vt:variant>
      <vt:variant>
        <vt:i4>5</vt:i4>
      </vt:variant>
      <vt:variant>
        <vt:lpwstr/>
      </vt:variant>
      <vt:variant>
        <vt:lpwstr>_Toc138166735</vt:lpwstr>
      </vt:variant>
      <vt:variant>
        <vt:i4>1048632</vt:i4>
      </vt:variant>
      <vt:variant>
        <vt:i4>122</vt:i4>
      </vt:variant>
      <vt:variant>
        <vt:i4>0</vt:i4>
      </vt:variant>
      <vt:variant>
        <vt:i4>5</vt:i4>
      </vt:variant>
      <vt:variant>
        <vt:lpwstr/>
      </vt:variant>
      <vt:variant>
        <vt:lpwstr>_Toc138166734</vt:lpwstr>
      </vt:variant>
      <vt:variant>
        <vt:i4>1048632</vt:i4>
      </vt:variant>
      <vt:variant>
        <vt:i4>116</vt:i4>
      </vt:variant>
      <vt:variant>
        <vt:i4>0</vt:i4>
      </vt:variant>
      <vt:variant>
        <vt:i4>5</vt:i4>
      </vt:variant>
      <vt:variant>
        <vt:lpwstr/>
      </vt:variant>
      <vt:variant>
        <vt:lpwstr>_Toc138166733</vt:lpwstr>
      </vt:variant>
      <vt:variant>
        <vt:i4>1048632</vt:i4>
      </vt:variant>
      <vt:variant>
        <vt:i4>110</vt:i4>
      </vt:variant>
      <vt:variant>
        <vt:i4>0</vt:i4>
      </vt:variant>
      <vt:variant>
        <vt:i4>5</vt:i4>
      </vt:variant>
      <vt:variant>
        <vt:lpwstr/>
      </vt:variant>
      <vt:variant>
        <vt:lpwstr>_Toc138166732</vt:lpwstr>
      </vt:variant>
      <vt:variant>
        <vt:i4>1048632</vt:i4>
      </vt:variant>
      <vt:variant>
        <vt:i4>104</vt:i4>
      </vt:variant>
      <vt:variant>
        <vt:i4>0</vt:i4>
      </vt:variant>
      <vt:variant>
        <vt:i4>5</vt:i4>
      </vt:variant>
      <vt:variant>
        <vt:lpwstr/>
      </vt:variant>
      <vt:variant>
        <vt:lpwstr>_Toc138166731</vt:lpwstr>
      </vt:variant>
      <vt:variant>
        <vt:i4>1048632</vt:i4>
      </vt:variant>
      <vt:variant>
        <vt:i4>98</vt:i4>
      </vt:variant>
      <vt:variant>
        <vt:i4>0</vt:i4>
      </vt:variant>
      <vt:variant>
        <vt:i4>5</vt:i4>
      </vt:variant>
      <vt:variant>
        <vt:lpwstr/>
      </vt:variant>
      <vt:variant>
        <vt:lpwstr>_Toc138166730</vt:lpwstr>
      </vt:variant>
      <vt:variant>
        <vt:i4>1114168</vt:i4>
      </vt:variant>
      <vt:variant>
        <vt:i4>92</vt:i4>
      </vt:variant>
      <vt:variant>
        <vt:i4>0</vt:i4>
      </vt:variant>
      <vt:variant>
        <vt:i4>5</vt:i4>
      </vt:variant>
      <vt:variant>
        <vt:lpwstr/>
      </vt:variant>
      <vt:variant>
        <vt:lpwstr>_Toc138166729</vt:lpwstr>
      </vt:variant>
      <vt:variant>
        <vt:i4>1114168</vt:i4>
      </vt:variant>
      <vt:variant>
        <vt:i4>86</vt:i4>
      </vt:variant>
      <vt:variant>
        <vt:i4>0</vt:i4>
      </vt:variant>
      <vt:variant>
        <vt:i4>5</vt:i4>
      </vt:variant>
      <vt:variant>
        <vt:lpwstr/>
      </vt:variant>
      <vt:variant>
        <vt:lpwstr>_Toc138166728</vt:lpwstr>
      </vt:variant>
      <vt:variant>
        <vt:i4>1114168</vt:i4>
      </vt:variant>
      <vt:variant>
        <vt:i4>80</vt:i4>
      </vt:variant>
      <vt:variant>
        <vt:i4>0</vt:i4>
      </vt:variant>
      <vt:variant>
        <vt:i4>5</vt:i4>
      </vt:variant>
      <vt:variant>
        <vt:lpwstr/>
      </vt:variant>
      <vt:variant>
        <vt:lpwstr>_Toc138166727</vt:lpwstr>
      </vt:variant>
      <vt:variant>
        <vt:i4>1114168</vt:i4>
      </vt:variant>
      <vt:variant>
        <vt:i4>74</vt:i4>
      </vt:variant>
      <vt:variant>
        <vt:i4>0</vt:i4>
      </vt:variant>
      <vt:variant>
        <vt:i4>5</vt:i4>
      </vt:variant>
      <vt:variant>
        <vt:lpwstr/>
      </vt:variant>
      <vt:variant>
        <vt:lpwstr>_Toc138166726</vt:lpwstr>
      </vt:variant>
      <vt:variant>
        <vt:i4>1114168</vt:i4>
      </vt:variant>
      <vt:variant>
        <vt:i4>68</vt:i4>
      </vt:variant>
      <vt:variant>
        <vt:i4>0</vt:i4>
      </vt:variant>
      <vt:variant>
        <vt:i4>5</vt:i4>
      </vt:variant>
      <vt:variant>
        <vt:lpwstr/>
      </vt:variant>
      <vt:variant>
        <vt:lpwstr>_Toc138166725</vt:lpwstr>
      </vt:variant>
      <vt:variant>
        <vt:i4>1114168</vt:i4>
      </vt:variant>
      <vt:variant>
        <vt:i4>62</vt:i4>
      </vt:variant>
      <vt:variant>
        <vt:i4>0</vt:i4>
      </vt:variant>
      <vt:variant>
        <vt:i4>5</vt:i4>
      </vt:variant>
      <vt:variant>
        <vt:lpwstr/>
      </vt:variant>
      <vt:variant>
        <vt:lpwstr>_Toc138166724</vt:lpwstr>
      </vt:variant>
      <vt:variant>
        <vt:i4>1114168</vt:i4>
      </vt:variant>
      <vt:variant>
        <vt:i4>56</vt:i4>
      </vt:variant>
      <vt:variant>
        <vt:i4>0</vt:i4>
      </vt:variant>
      <vt:variant>
        <vt:i4>5</vt:i4>
      </vt:variant>
      <vt:variant>
        <vt:lpwstr/>
      </vt:variant>
      <vt:variant>
        <vt:lpwstr>_Toc138166723</vt:lpwstr>
      </vt:variant>
      <vt:variant>
        <vt:i4>1114168</vt:i4>
      </vt:variant>
      <vt:variant>
        <vt:i4>50</vt:i4>
      </vt:variant>
      <vt:variant>
        <vt:i4>0</vt:i4>
      </vt:variant>
      <vt:variant>
        <vt:i4>5</vt:i4>
      </vt:variant>
      <vt:variant>
        <vt:lpwstr/>
      </vt:variant>
      <vt:variant>
        <vt:lpwstr>_Toc138166722</vt:lpwstr>
      </vt:variant>
      <vt:variant>
        <vt:i4>1114168</vt:i4>
      </vt:variant>
      <vt:variant>
        <vt:i4>44</vt:i4>
      </vt:variant>
      <vt:variant>
        <vt:i4>0</vt:i4>
      </vt:variant>
      <vt:variant>
        <vt:i4>5</vt:i4>
      </vt:variant>
      <vt:variant>
        <vt:lpwstr/>
      </vt:variant>
      <vt:variant>
        <vt:lpwstr>_Toc138166721</vt:lpwstr>
      </vt:variant>
      <vt:variant>
        <vt:i4>1114168</vt:i4>
      </vt:variant>
      <vt:variant>
        <vt:i4>38</vt:i4>
      </vt:variant>
      <vt:variant>
        <vt:i4>0</vt:i4>
      </vt:variant>
      <vt:variant>
        <vt:i4>5</vt:i4>
      </vt:variant>
      <vt:variant>
        <vt:lpwstr/>
      </vt:variant>
      <vt:variant>
        <vt:lpwstr>_Toc138166720</vt:lpwstr>
      </vt:variant>
      <vt:variant>
        <vt:i4>1179704</vt:i4>
      </vt:variant>
      <vt:variant>
        <vt:i4>32</vt:i4>
      </vt:variant>
      <vt:variant>
        <vt:i4>0</vt:i4>
      </vt:variant>
      <vt:variant>
        <vt:i4>5</vt:i4>
      </vt:variant>
      <vt:variant>
        <vt:lpwstr/>
      </vt:variant>
      <vt:variant>
        <vt:lpwstr>_Toc138166719</vt:lpwstr>
      </vt:variant>
      <vt:variant>
        <vt:i4>1179704</vt:i4>
      </vt:variant>
      <vt:variant>
        <vt:i4>26</vt:i4>
      </vt:variant>
      <vt:variant>
        <vt:i4>0</vt:i4>
      </vt:variant>
      <vt:variant>
        <vt:i4>5</vt:i4>
      </vt:variant>
      <vt:variant>
        <vt:lpwstr/>
      </vt:variant>
      <vt:variant>
        <vt:lpwstr>_Toc138166718</vt:lpwstr>
      </vt:variant>
      <vt:variant>
        <vt:i4>1179704</vt:i4>
      </vt:variant>
      <vt:variant>
        <vt:i4>20</vt:i4>
      </vt:variant>
      <vt:variant>
        <vt:i4>0</vt:i4>
      </vt:variant>
      <vt:variant>
        <vt:i4>5</vt:i4>
      </vt:variant>
      <vt:variant>
        <vt:lpwstr/>
      </vt:variant>
      <vt:variant>
        <vt:lpwstr>_Toc138166717</vt:lpwstr>
      </vt:variant>
      <vt:variant>
        <vt:i4>1179704</vt:i4>
      </vt:variant>
      <vt:variant>
        <vt:i4>14</vt:i4>
      </vt:variant>
      <vt:variant>
        <vt:i4>0</vt:i4>
      </vt:variant>
      <vt:variant>
        <vt:i4>5</vt:i4>
      </vt:variant>
      <vt:variant>
        <vt:lpwstr/>
      </vt:variant>
      <vt:variant>
        <vt:lpwstr>_Toc138166716</vt:lpwstr>
      </vt:variant>
      <vt:variant>
        <vt:i4>1179704</vt:i4>
      </vt:variant>
      <vt:variant>
        <vt:i4>8</vt:i4>
      </vt:variant>
      <vt:variant>
        <vt:i4>0</vt:i4>
      </vt:variant>
      <vt:variant>
        <vt:i4>5</vt:i4>
      </vt:variant>
      <vt:variant>
        <vt:lpwstr/>
      </vt:variant>
      <vt:variant>
        <vt:lpwstr>_Toc138166715</vt:lpwstr>
      </vt:variant>
      <vt:variant>
        <vt:i4>1179704</vt:i4>
      </vt:variant>
      <vt:variant>
        <vt:i4>2</vt:i4>
      </vt:variant>
      <vt:variant>
        <vt:i4>0</vt:i4>
      </vt:variant>
      <vt:variant>
        <vt:i4>5</vt:i4>
      </vt:variant>
      <vt:variant>
        <vt:lpwstr/>
      </vt:variant>
      <vt:variant>
        <vt:lpwstr>_Toc138166714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2023-11-20T00:58:00Z</dcterms:created>
  <dcterms:modified xsi:type="dcterms:W3CDTF">2023-11-20T00:58:00Z</dcterms:modified>
  <cp:category/>
</cp:coreProperties>
</file>