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0AA94" w14:textId="77777777" w:rsidR="00F91673" w:rsidRPr="00184FEB" w:rsidRDefault="00F91673" w:rsidP="005D1B5F">
      <w:pPr>
        <w:pStyle w:val="Sectionheading"/>
        <w:tabs>
          <w:tab w:val="left" w:pos="5103"/>
        </w:tabs>
        <w:spacing w:before="2760"/>
        <w:rPr>
          <w:sz w:val="46"/>
          <w:szCs w:val="46"/>
        </w:rPr>
      </w:pPr>
      <w:r w:rsidRPr="00184FEB">
        <w:rPr>
          <w:sz w:val="46"/>
          <w:szCs w:val="46"/>
        </w:rPr>
        <w:t>Adapt Horizon Action Plan</w:t>
      </w:r>
    </w:p>
    <w:p w14:paraId="069554FF" w14:textId="6958DB9B" w:rsidR="00F91673" w:rsidRPr="00184FEB" w:rsidRDefault="00A27CD3" w:rsidP="00E43B86">
      <w:pPr>
        <w:pStyle w:val="Heading1"/>
      </w:pPr>
      <w:r w:rsidRPr="00184FEB">
        <w:t>May</w:t>
      </w:r>
      <w:r w:rsidR="00F91673" w:rsidRPr="00184FEB">
        <w:t xml:space="preserve"> 2025 – Jun 2026</w:t>
      </w:r>
    </w:p>
    <w:p w14:paraId="7C15D4BE" w14:textId="71B2341B" w:rsidR="00F91673" w:rsidRPr="00184FEB" w:rsidRDefault="00F91673" w:rsidP="00F91673">
      <w:r w:rsidRPr="00184FEB">
        <w:t xml:space="preserve">The </w:t>
      </w:r>
      <w:r w:rsidRPr="00184FEB">
        <w:rPr>
          <w:i/>
        </w:rPr>
        <w:t xml:space="preserve">Highly Capable, Future-Ready: APS Learning and Development Strategy </w:t>
      </w:r>
      <w:r w:rsidRPr="00184FEB">
        <w:t>sets the direction for lifting</w:t>
      </w:r>
      <w:r w:rsidRPr="00184FEB">
        <w:rPr>
          <w:b/>
        </w:rPr>
        <w:t xml:space="preserve"> </w:t>
      </w:r>
      <w:r w:rsidRPr="00184FEB">
        <w:t>learning and development across the Australian Public Service. It outlines our shared vision</w:t>
      </w:r>
      <w:r w:rsidR="00841066" w:rsidRPr="00184FEB">
        <w:t xml:space="preserve"> for a high-performing APS workforce equipped with the critical skills needed to deliver for the Government and </w:t>
      </w:r>
      <w:r w:rsidR="007F2E90" w:rsidRPr="00184FEB">
        <w:t>the Australian community</w:t>
      </w:r>
      <w:r w:rsidR="00841066" w:rsidRPr="00184FEB">
        <w:t xml:space="preserve">. </w:t>
      </w:r>
    </w:p>
    <w:p w14:paraId="05713388" w14:textId="77777777" w:rsidR="005D60CE" w:rsidRPr="00184FEB" w:rsidRDefault="00841066" w:rsidP="00841066">
      <w:pPr>
        <w:rPr>
          <w:sz w:val="46"/>
          <w:szCs w:val="46"/>
        </w:rPr>
      </w:pPr>
      <w:r w:rsidRPr="00184FEB">
        <w:t xml:space="preserve">This Adapt Action Plan marks the next horizon in realising that vision. It builds upon the progress achieved in the initial horizons, </w:t>
      </w:r>
      <w:r w:rsidRPr="00184FEB">
        <w:rPr>
          <w:i/>
        </w:rPr>
        <w:t>Activate</w:t>
      </w:r>
      <w:r w:rsidRPr="00184FEB">
        <w:t xml:space="preserve"> and </w:t>
      </w:r>
      <w:r w:rsidRPr="00184FEB">
        <w:rPr>
          <w:i/>
        </w:rPr>
        <w:t xml:space="preserve">Elevate </w:t>
      </w:r>
      <w:r w:rsidRPr="00184FEB">
        <w:t>and encompasses 17 actions across the Strategy’s four pillars: Culture, Governance, Capabilities and Technology. These actions have been designed to address six critical objectives:</w:t>
      </w:r>
      <w:r w:rsidR="005D60CE" w:rsidRPr="00184FEB">
        <w:rPr>
          <w:sz w:val="46"/>
          <w:szCs w:val="46"/>
        </w:rPr>
        <w:t xml:space="preserve"> </w:t>
      </w:r>
    </w:p>
    <w:p w14:paraId="1292982D" w14:textId="77777777" w:rsidR="00841066" w:rsidRPr="00184FEB" w:rsidRDefault="00841066" w:rsidP="00616792">
      <w:pPr>
        <w:pStyle w:val="ListParagraph"/>
        <w:numPr>
          <w:ilvl w:val="0"/>
          <w:numId w:val="9"/>
        </w:numPr>
        <w:spacing w:line="360" w:lineRule="auto"/>
        <w:rPr>
          <w:bCs/>
        </w:rPr>
      </w:pPr>
      <w:r w:rsidRPr="00184FEB">
        <w:rPr>
          <w:b/>
          <w:bCs/>
        </w:rPr>
        <w:t>Enhance learning culture:</w:t>
      </w:r>
      <w:r w:rsidRPr="00184FEB">
        <w:rPr>
          <w:bCs/>
        </w:rPr>
        <w:t xml:space="preserve"> ensure leaders actively champion and prioritise a culture where learning is an integral part of operational success. </w:t>
      </w:r>
    </w:p>
    <w:p w14:paraId="22A4B34F" w14:textId="77777777" w:rsidR="00841066" w:rsidRPr="00184FEB" w:rsidRDefault="00841066" w:rsidP="00616792">
      <w:pPr>
        <w:pStyle w:val="ListParagraph"/>
        <w:numPr>
          <w:ilvl w:val="0"/>
          <w:numId w:val="9"/>
        </w:numPr>
        <w:spacing w:line="360" w:lineRule="auto"/>
        <w:rPr>
          <w:bCs/>
        </w:rPr>
      </w:pPr>
      <w:r w:rsidRPr="00184FEB">
        <w:rPr>
          <w:b/>
          <w:bCs/>
        </w:rPr>
        <w:t>Promote best practice:</w:t>
      </w:r>
      <w:r w:rsidRPr="00184FEB">
        <w:rPr>
          <w:bCs/>
        </w:rPr>
        <w:t xml:space="preserve"> encourage excellence in learning and the adop</w:t>
      </w:r>
      <w:bookmarkStart w:id="0" w:name="_GoBack"/>
      <w:bookmarkEnd w:id="0"/>
      <w:r w:rsidRPr="00184FEB">
        <w:rPr>
          <w:bCs/>
        </w:rPr>
        <w:t xml:space="preserve">tion of high-impact capability development solutions.  </w:t>
      </w:r>
    </w:p>
    <w:p w14:paraId="19D6203D" w14:textId="77777777" w:rsidR="00841066" w:rsidRPr="00184FEB" w:rsidRDefault="00841066" w:rsidP="00616792">
      <w:pPr>
        <w:pStyle w:val="ListParagraph"/>
        <w:numPr>
          <w:ilvl w:val="0"/>
          <w:numId w:val="9"/>
        </w:numPr>
        <w:spacing w:line="360" w:lineRule="auto"/>
        <w:rPr>
          <w:bCs/>
        </w:rPr>
      </w:pPr>
      <w:r w:rsidRPr="00184FEB">
        <w:rPr>
          <w:b/>
          <w:bCs/>
        </w:rPr>
        <w:t>Network the system:</w:t>
      </w:r>
      <w:r w:rsidRPr="00184FEB">
        <w:rPr>
          <w:bCs/>
        </w:rPr>
        <w:t xml:space="preserve"> strengthen the ability for APS L&amp;D teams to work as a cohesive system, maximising the impact of individual agency efforts and supporting a One-APS learning ecosystem.  </w:t>
      </w:r>
    </w:p>
    <w:p w14:paraId="1E60CF56" w14:textId="77777777" w:rsidR="00841066" w:rsidRPr="00184FEB" w:rsidRDefault="00841066" w:rsidP="00616792">
      <w:pPr>
        <w:pStyle w:val="ListParagraph"/>
        <w:numPr>
          <w:ilvl w:val="0"/>
          <w:numId w:val="9"/>
        </w:numPr>
        <w:spacing w:line="360" w:lineRule="auto"/>
        <w:rPr>
          <w:bCs/>
        </w:rPr>
      </w:pPr>
      <w:r w:rsidRPr="00184FEB">
        <w:rPr>
          <w:b/>
          <w:bCs/>
        </w:rPr>
        <w:t>Drive efficiencies:</w:t>
      </w:r>
      <w:r w:rsidRPr="00184FEB">
        <w:rPr>
          <w:bCs/>
        </w:rPr>
        <w:t xml:space="preserve"> optimise resource allocation that sustains and expands L&amp;D efforts and maximises the value of investments. </w:t>
      </w:r>
    </w:p>
    <w:p w14:paraId="71CD5F80" w14:textId="77777777" w:rsidR="00841066" w:rsidRPr="00184FEB" w:rsidRDefault="00841066" w:rsidP="00616792">
      <w:pPr>
        <w:pStyle w:val="ListParagraph"/>
        <w:numPr>
          <w:ilvl w:val="0"/>
          <w:numId w:val="9"/>
        </w:numPr>
        <w:spacing w:line="360" w:lineRule="auto"/>
        <w:rPr>
          <w:bCs/>
        </w:rPr>
      </w:pPr>
      <w:r w:rsidRPr="00184FEB">
        <w:rPr>
          <w:b/>
          <w:bCs/>
        </w:rPr>
        <w:t>Lift leadership and management capability</w:t>
      </w:r>
      <w:r w:rsidR="00172334" w:rsidRPr="00184FEB">
        <w:rPr>
          <w:bCs/>
        </w:rPr>
        <w:t>:</w:t>
      </w:r>
      <w:r w:rsidRPr="00184FEB">
        <w:rPr>
          <w:bCs/>
        </w:rPr>
        <w:t xml:space="preserve"> targeting people managers across the APS.  </w:t>
      </w:r>
    </w:p>
    <w:p w14:paraId="75220B68" w14:textId="77777777" w:rsidR="00172334" w:rsidRPr="00184FEB" w:rsidRDefault="00841066" w:rsidP="00616792">
      <w:pPr>
        <w:pStyle w:val="ListParagraph"/>
        <w:numPr>
          <w:ilvl w:val="0"/>
          <w:numId w:val="9"/>
        </w:numPr>
        <w:spacing w:line="360" w:lineRule="auto"/>
      </w:pPr>
      <w:r w:rsidRPr="00184FEB">
        <w:rPr>
          <w:b/>
          <w:bCs/>
        </w:rPr>
        <w:t>Improve discoverability and accessibility of learning:</w:t>
      </w:r>
      <w:r w:rsidRPr="00184FEB">
        <w:rPr>
          <w:bCs/>
        </w:rPr>
        <w:t xml:space="preserve"> developing the capability of L&amp;D practitioners to establish, implement and maintain learning technology, and to improve the discoverability of learning for APS employees.</w:t>
      </w:r>
      <w:r w:rsidRPr="00184FEB">
        <w:rPr>
          <w:b/>
          <w:bCs/>
        </w:rPr>
        <w:t xml:space="preserve">  </w:t>
      </w:r>
    </w:p>
    <w:p w14:paraId="5DC69452" w14:textId="77777777" w:rsidR="00057A28" w:rsidRPr="00184FEB" w:rsidRDefault="00172334" w:rsidP="00E43B86">
      <w:r w:rsidRPr="00184FEB">
        <w:t xml:space="preserve">This horizon introduces new indicators to signal the expected changes in behaviour across the service. </w:t>
      </w:r>
      <w:r w:rsidR="00057A28" w:rsidRPr="00184FEB">
        <w:br w:type="page"/>
      </w:r>
    </w:p>
    <w:p w14:paraId="7A75A6A6" w14:textId="77777777" w:rsidR="004B6270" w:rsidRPr="00184FEB" w:rsidRDefault="00057A28" w:rsidP="00335A9F">
      <w:pPr>
        <w:pStyle w:val="Heading1"/>
        <w:spacing w:after="360"/>
        <w:ind w:left="-284"/>
      </w:pPr>
      <w:r w:rsidRPr="00184FEB">
        <w:lastRenderedPageBreak/>
        <w:t>Pillar 1 –</w:t>
      </w:r>
      <w:r w:rsidR="006F5E3C" w:rsidRPr="00184FEB">
        <w:t xml:space="preserve"> Culture</w:t>
      </w:r>
    </w:p>
    <w:tbl>
      <w:tblPr>
        <w:tblStyle w:val="TableGrid"/>
        <w:tblW w:w="9637" w:type="dxa"/>
        <w:tblInd w:w="-284" w:type="dxa"/>
        <w:tblBorders>
          <w:left w:val="none" w:sz="0" w:space="0" w:color="auto"/>
          <w:right w:val="none" w:sz="0" w:space="0" w:color="auto"/>
        </w:tblBorders>
        <w:tblLayout w:type="fixed"/>
        <w:tblCellMar>
          <w:top w:w="85" w:type="dxa"/>
          <w:bottom w:w="28" w:type="dxa"/>
        </w:tblCellMar>
        <w:tblLook w:val="04A0" w:firstRow="1" w:lastRow="0" w:firstColumn="1" w:lastColumn="0" w:noHBand="0" w:noVBand="1"/>
        <w:tblCaption w:val="Pillar 1 – Culture: Horizon Adapt (2025–2026)"/>
      </w:tblPr>
      <w:tblGrid>
        <w:gridCol w:w="6803"/>
        <w:gridCol w:w="1417"/>
        <w:gridCol w:w="1417"/>
      </w:tblGrid>
      <w:tr w:rsidR="00262522" w:rsidRPr="00184FEB" w14:paraId="51D5DF12" w14:textId="77777777" w:rsidTr="00BB24C7">
        <w:trPr>
          <w:trHeight w:val="572"/>
          <w:tblHeader/>
        </w:trPr>
        <w:tc>
          <w:tcPr>
            <w:tcW w:w="6803" w:type="dxa"/>
            <w:shd w:val="clear" w:color="auto" w:fill="AC1749" w:themeFill="accent4"/>
            <w:vAlign w:val="center"/>
          </w:tcPr>
          <w:p w14:paraId="5CE446E2" w14:textId="77777777" w:rsidR="00262522" w:rsidRPr="00184FEB" w:rsidRDefault="00262522" w:rsidP="009C16C0">
            <w:pPr>
              <w:pStyle w:val="tableheading"/>
              <w:rPr>
                <w:sz w:val="24"/>
                <w:szCs w:val="24"/>
              </w:rPr>
            </w:pPr>
            <w:r w:rsidRPr="00184FEB">
              <w:rPr>
                <w:color w:val="FFFFFF" w:themeColor="background1"/>
                <w:sz w:val="24"/>
                <w:szCs w:val="24"/>
              </w:rPr>
              <w:t>Action</w:t>
            </w:r>
          </w:p>
        </w:tc>
        <w:tc>
          <w:tcPr>
            <w:tcW w:w="1417" w:type="dxa"/>
            <w:shd w:val="clear" w:color="auto" w:fill="AC1749" w:themeFill="accent4"/>
            <w:vAlign w:val="center"/>
          </w:tcPr>
          <w:p w14:paraId="2F1D1778" w14:textId="77777777" w:rsidR="00262522" w:rsidRPr="00184FEB" w:rsidRDefault="00262522" w:rsidP="009C16C0">
            <w:pPr>
              <w:pStyle w:val="tableheading"/>
              <w:rPr>
                <w:sz w:val="24"/>
                <w:szCs w:val="24"/>
              </w:rPr>
            </w:pPr>
            <w:r w:rsidRPr="00184FEB">
              <w:rPr>
                <w:color w:val="FFFFFF" w:themeColor="background1"/>
                <w:sz w:val="24"/>
                <w:szCs w:val="24"/>
              </w:rPr>
              <w:t>Lead</w:t>
            </w:r>
          </w:p>
        </w:tc>
        <w:tc>
          <w:tcPr>
            <w:tcW w:w="1417" w:type="dxa"/>
            <w:shd w:val="clear" w:color="auto" w:fill="AC1749" w:themeFill="accent4"/>
            <w:vAlign w:val="center"/>
          </w:tcPr>
          <w:p w14:paraId="22EE4082" w14:textId="77777777" w:rsidR="00262522" w:rsidRPr="00184FEB" w:rsidRDefault="00262522" w:rsidP="009C16C0">
            <w:pPr>
              <w:pStyle w:val="tableheading"/>
              <w:rPr>
                <w:sz w:val="24"/>
                <w:szCs w:val="24"/>
              </w:rPr>
            </w:pPr>
            <w:r w:rsidRPr="00184FEB">
              <w:rPr>
                <w:color w:val="FFFFFF" w:themeColor="background1"/>
                <w:sz w:val="24"/>
                <w:szCs w:val="24"/>
              </w:rPr>
              <w:t>Partner</w:t>
            </w:r>
          </w:p>
        </w:tc>
      </w:tr>
      <w:tr w:rsidR="00B84AC3" w:rsidRPr="00184FEB" w14:paraId="7C6B0D65" w14:textId="77777777" w:rsidTr="00BB24C7">
        <w:trPr>
          <w:trHeight w:val="4068"/>
        </w:trPr>
        <w:tc>
          <w:tcPr>
            <w:tcW w:w="6803" w:type="dxa"/>
            <w:tcBorders>
              <w:bottom w:val="single" w:sz="4" w:space="0" w:color="auto"/>
            </w:tcBorders>
            <w:shd w:val="clear" w:color="auto" w:fill="F0E0E1"/>
          </w:tcPr>
          <w:p w14:paraId="208043FF" w14:textId="77777777" w:rsidR="00D665B9" w:rsidRPr="00184FEB" w:rsidRDefault="00D665B9" w:rsidP="00D665B9">
            <w:pPr>
              <w:pStyle w:val="tabletextnormal"/>
              <w:spacing w:before="120"/>
              <w:rPr>
                <w:sz w:val="21"/>
                <w:szCs w:val="21"/>
              </w:rPr>
            </w:pPr>
            <w:r w:rsidRPr="00184FEB">
              <w:rPr>
                <w:b/>
                <w:bCs/>
                <w:sz w:val="21"/>
                <w:szCs w:val="21"/>
              </w:rPr>
              <w:t xml:space="preserve">1.1 Clarify and align capability focus between key committees </w:t>
            </w:r>
          </w:p>
          <w:p w14:paraId="3D42BD23" w14:textId="68BD800D" w:rsidR="00D665B9" w:rsidRPr="00184FEB" w:rsidRDefault="00D665B9" w:rsidP="00D665B9">
            <w:pPr>
              <w:pStyle w:val="tabletextnormal"/>
            </w:pPr>
            <w:r w:rsidRPr="00184FEB">
              <w:t xml:space="preserve">We will clarify and align the focus on capability across senior APS committees such as the Secretaries Board, COO Committee, Learning Board and Capability &amp; Workforce Committee. We will work with senior governance groups to develop accountability statements that outline their role in shaping capability culture and development. These statements will be aligned with the APS Values and the SES Performance Framework, helping to ensure consistent expectations and reinforce leadership accountability for building capability across the service. </w:t>
            </w:r>
          </w:p>
          <w:p w14:paraId="1EA2EC64" w14:textId="77777777" w:rsidR="00D665B9" w:rsidRPr="00184FEB" w:rsidRDefault="00D665B9" w:rsidP="00B84AC3">
            <w:pPr>
              <w:pStyle w:val="tabletextnormal"/>
              <w:spacing w:before="120"/>
              <w:rPr>
                <w:b/>
                <w:iCs/>
                <w:sz w:val="21"/>
                <w:szCs w:val="21"/>
              </w:rPr>
            </w:pPr>
            <w:r w:rsidRPr="00184FEB">
              <w:rPr>
                <w:b/>
                <w:iCs/>
                <w:sz w:val="21"/>
                <w:szCs w:val="21"/>
              </w:rPr>
              <w:t xml:space="preserve">What is the expected change we will see? </w:t>
            </w:r>
          </w:p>
          <w:p w14:paraId="6EDA61A1" w14:textId="77777777" w:rsidR="00D665B9" w:rsidRPr="00184FEB" w:rsidRDefault="00D665B9" w:rsidP="000C3E74">
            <w:pPr>
              <w:pStyle w:val="TablebulletsforQRG"/>
              <w:spacing w:after="120"/>
            </w:pPr>
            <w:r w:rsidRPr="00184FEB">
              <w:t>Strategic forward agendas of committees include discussions on APS wide capability challenges and opportunities</w:t>
            </w:r>
          </w:p>
        </w:tc>
        <w:tc>
          <w:tcPr>
            <w:tcW w:w="1417" w:type="dxa"/>
            <w:tcBorders>
              <w:bottom w:val="single" w:sz="4" w:space="0" w:color="auto"/>
            </w:tcBorders>
            <w:shd w:val="clear" w:color="auto" w:fill="F0E0E1"/>
          </w:tcPr>
          <w:p w14:paraId="79BA3E60" w14:textId="77777777" w:rsidR="00D665B9" w:rsidRPr="00184FEB" w:rsidRDefault="00D665B9" w:rsidP="00D665B9">
            <w:pPr>
              <w:pStyle w:val="tabletextnormal"/>
              <w:rPr>
                <w:rFonts w:ascii="Arial" w:hAnsi="Arial" w:cs="Arial"/>
              </w:rPr>
            </w:pPr>
            <w:r w:rsidRPr="00184FEB">
              <w:rPr>
                <w:rFonts w:ascii="Arial" w:hAnsi="Arial" w:cs="Arial"/>
              </w:rPr>
              <w:t>APSC</w:t>
            </w:r>
          </w:p>
        </w:tc>
        <w:tc>
          <w:tcPr>
            <w:tcW w:w="1417" w:type="dxa"/>
            <w:tcBorders>
              <w:bottom w:val="single" w:sz="4" w:space="0" w:color="auto"/>
            </w:tcBorders>
            <w:shd w:val="clear" w:color="auto" w:fill="F0E0E1"/>
          </w:tcPr>
          <w:p w14:paraId="1DEFF4FD" w14:textId="77777777" w:rsidR="00D665B9" w:rsidRPr="00184FEB" w:rsidRDefault="0000644F" w:rsidP="00D665B9">
            <w:pPr>
              <w:pStyle w:val="tabletextnormal"/>
              <w:rPr>
                <w:rFonts w:ascii="Arial" w:hAnsi="Arial" w:cs="Arial"/>
              </w:rPr>
            </w:pPr>
            <w:r w:rsidRPr="00184FEB">
              <w:rPr>
                <w:rFonts w:ascii="Arial" w:hAnsi="Arial" w:cs="Arial"/>
              </w:rPr>
              <w:t>Committee Secretariats</w:t>
            </w:r>
          </w:p>
        </w:tc>
      </w:tr>
      <w:tr w:rsidR="00F04CE3" w:rsidRPr="00184FEB" w14:paraId="3B60F8AE" w14:textId="77777777" w:rsidTr="00BB24C7">
        <w:trPr>
          <w:trHeight w:val="3990"/>
        </w:trPr>
        <w:tc>
          <w:tcPr>
            <w:tcW w:w="6803" w:type="dxa"/>
            <w:shd w:val="clear" w:color="auto" w:fill="F6EDED"/>
          </w:tcPr>
          <w:p w14:paraId="11AC4006" w14:textId="77777777" w:rsidR="00D665B9" w:rsidRPr="00184FEB" w:rsidRDefault="00D665B9" w:rsidP="00B84AC3">
            <w:pPr>
              <w:pStyle w:val="tabletextnormal"/>
              <w:spacing w:before="120"/>
              <w:rPr>
                <w:sz w:val="21"/>
                <w:szCs w:val="21"/>
              </w:rPr>
            </w:pPr>
            <w:r w:rsidRPr="00184FEB">
              <w:rPr>
                <w:b/>
                <w:bCs/>
                <w:sz w:val="21"/>
                <w:szCs w:val="21"/>
              </w:rPr>
              <w:t>1.2 Develop a non-SES Performance Framework that includes clear expectations for Executive Level officers for developing self and others</w:t>
            </w:r>
          </w:p>
          <w:p w14:paraId="5679F957" w14:textId="547006B0" w:rsidR="00D665B9" w:rsidRPr="00184FEB" w:rsidRDefault="00D665B9" w:rsidP="00D665B9">
            <w:pPr>
              <w:pStyle w:val="tabletextnormal"/>
            </w:pPr>
            <w:r w:rsidRPr="00184FEB">
              <w:t>We will develop a performance framework for non-SES employees</w:t>
            </w:r>
            <w:r w:rsidR="00D42543" w:rsidRPr="00184FEB">
              <w:t xml:space="preserve">. </w:t>
            </w:r>
            <w:r w:rsidRPr="00184FEB">
              <w:t xml:space="preserve">The framework will set clear expectations for leaders to prioritise their own development and actively support the growth of their teams. By making these expectations explicit, the framework will reinforce accountability and help embed a culture of continuous learning. It will align with the SES Performance Framework and </w:t>
            </w:r>
            <w:r w:rsidR="00D42543" w:rsidRPr="00184FEB">
              <w:t xml:space="preserve">consultation will be undertaken with </w:t>
            </w:r>
            <w:r w:rsidRPr="00184FEB">
              <w:t xml:space="preserve">the APS Talent Council. </w:t>
            </w:r>
          </w:p>
          <w:p w14:paraId="21DC75A6" w14:textId="77777777" w:rsidR="00D665B9" w:rsidRPr="00184FEB" w:rsidRDefault="00D665B9" w:rsidP="005F0EB3">
            <w:pPr>
              <w:pStyle w:val="tabletextnormal"/>
              <w:rPr>
                <w:b/>
                <w:iCs/>
                <w:sz w:val="21"/>
                <w:szCs w:val="21"/>
              </w:rPr>
            </w:pPr>
            <w:r w:rsidRPr="00184FEB">
              <w:rPr>
                <w:b/>
                <w:iCs/>
                <w:sz w:val="21"/>
                <w:szCs w:val="21"/>
              </w:rPr>
              <w:t xml:space="preserve">What is the expected change we will see? </w:t>
            </w:r>
          </w:p>
          <w:p w14:paraId="61AC7A2B" w14:textId="77777777" w:rsidR="00D665B9" w:rsidRPr="00184FEB" w:rsidRDefault="00D665B9" w:rsidP="00E92C24">
            <w:pPr>
              <w:pStyle w:val="TablebulletsforQRG"/>
              <w:spacing w:after="120"/>
            </w:pPr>
            <w:r w:rsidRPr="00184FEB">
              <w:t>Executive Level officers actively develop themselves and their teams</w:t>
            </w:r>
            <w:r w:rsidR="00E92C24" w:rsidRPr="00184FEB">
              <w:t>.</w:t>
            </w:r>
          </w:p>
        </w:tc>
        <w:tc>
          <w:tcPr>
            <w:tcW w:w="1417" w:type="dxa"/>
            <w:shd w:val="clear" w:color="auto" w:fill="F6EDED"/>
          </w:tcPr>
          <w:p w14:paraId="713CEE88" w14:textId="77777777" w:rsidR="00D665B9" w:rsidRPr="00184FEB" w:rsidRDefault="00D665B9" w:rsidP="00900314">
            <w:pPr>
              <w:pStyle w:val="tabletextnormal"/>
              <w:rPr>
                <w:rFonts w:ascii="Arial" w:hAnsi="Arial" w:cs="Arial"/>
              </w:rPr>
            </w:pPr>
            <w:r w:rsidRPr="00184FEB">
              <w:rPr>
                <w:rFonts w:ascii="Arial" w:hAnsi="Arial" w:cs="Arial"/>
              </w:rPr>
              <w:t>APSC</w:t>
            </w:r>
          </w:p>
        </w:tc>
        <w:tc>
          <w:tcPr>
            <w:tcW w:w="1417" w:type="dxa"/>
            <w:shd w:val="clear" w:color="auto" w:fill="F6EDED"/>
          </w:tcPr>
          <w:p w14:paraId="0FBD19F5" w14:textId="77777777" w:rsidR="00D665B9" w:rsidRPr="00184FEB" w:rsidRDefault="00D665B9" w:rsidP="00900314">
            <w:pPr>
              <w:pStyle w:val="tabletextnormal"/>
              <w:rPr>
                <w:rFonts w:ascii="Arial" w:hAnsi="Arial" w:cs="Arial"/>
              </w:rPr>
            </w:pPr>
            <w:r w:rsidRPr="00184FEB">
              <w:rPr>
                <w:rFonts w:ascii="Arial" w:hAnsi="Arial" w:cs="Arial"/>
              </w:rPr>
              <w:t xml:space="preserve">APS </w:t>
            </w:r>
            <w:r w:rsidR="00D42543" w:rsidRPr="00184FEB">
              <w:rPr>
                <w:rFonts w:ascii="Arial" w:hAnsi="Arial" w:cs="Arial"/>
              </w:rPr>
              <w:t>a</w:t>
            </w:r>
            <w:r w:rsidRPr="00184FEB">
              <w:rPr>
                <w:rFonts w:ascii="Arial" w:hAnsi="Arial" w:cs="Arial"/>
              </w:rPr>
              <w:t>gencies</w:t>
            </w:r>
          </w:p>
        </w:tc>
      </w:tr>
      <w:tr w:rsidR="00F04CE3" w:rsidRPr="00184FEB" w14:paraId="714FF088" w14:textId="77777777" w:rsidTr="00BB24C7">
        <w:trPr>
          <w:trHeight w:val="2540"/>
        </w:trPr>
        <w:tc>
          <w:tcPr>
            <w:tcW w:w="6803" w:type="dxa"/>
            <w:tcBorders>
              <w:bottom w:val="single" w:sz="4" w:space="0" w:color="auto"/>
            </w:tcBorders>
            <w:shd w:val="clear" w:color="auto" w:fill="F0E0E1"/>
          </w:tcPr>
          <w:p w14:paraId="3E06BA37" w14:textId="77777777" w:rsidR="00262522" w:rsidRPr="00184FEB" w:rsidRDefault="00262522" w:rsidP="005C6E5D">
            <w:pPr>
              <w:pStyle w:val="tabletextnormal"/>
              <w:rPr>
                <w:sz w:val="21"/>
                <w:szCs w:val="21"/>
              </w:rPr>
            </w:pPr>
            <w:r w:rsidRPr="00184FEB">
              <w:rPr>
                <w:b/>
                <w:bCs/>
                <w:sz w:val="21"/>
                <w:szCs w:val="21"/>
              </w:rPr>
              <w:t>1.3 Develop learning culture toolkits</w:t>
            </w:r>
          </w:p>
          <w:p w14:paraId="5A02ACBF" w14:textId="494AC4E3" w:rsidR="00262522" w:rsidRPr="00184FEB" w:rsidRDefault="00262522" w:rsidP="00D665B9">
            <w:pPr>
              <w:pStyle w:val="tabletextnormal"/>
            </w:pPr>
            <w:r w:rsidRPr="00184FEB">
              <w:t xml:space="preserve">We will develop learning culture toolkits to help agencies strengthen learning mindsets and practices in the workplace. </w:t>
            </w:r>
          </w:p>
          <w:p w14:paraId="54A9FC86" w14:textId="77777777" w:rsidR="00262522" w:rsidRPr="00184FEB" w:rsidRDefault="00262522" w:rsidP="005C6E5D">
            <w:pPr>
              <w:pStyle w:val="tabletextnormal"/>
            </w:pPr>
            <w:r w:rsidRPr="00184FEB">
              <w:t xml:space="preserve">The toolkits will include practical resources such as case studies, team activities, on-the-job learning strategies, leadership guides and change management templates. </w:t>
            </w:r>
          </w:p>
          <w:p w14:paraId="3F0C53AE" w14:textId="77777777" w:rsidR="00262522" w:rsidRPr="00184FEB" w:rsidRDefault="00262522" w:rsidP="00111B31">
            <w:pPr>
              <w:pStyle w:val="tabletextnormal"/>
              <w:spacing w:before="120"/>
              <w:rPr>
                <w:b/>
                <w:iCs/>
              </w:rPr>
            </w:pPr>
            <w:r w:rsidRPr="00184FEB">
              <w:rPr>
                <w:b/>
                <w:iCs/>
              </w:rPr>
              <w:t xml:space="preserve">What is the expected change we will see? </w:t>
            </w:r>
          </w:p>
          <w:p w14:paraId="7543277B" w14:textId="77777777" w:rsidR="00262522" w:rsidRPr="00184FEB" w:rsidRDefault="00262522" w:rsidP="00A665D0">
            <w:pPr>
              <w:pStyle w:val="TablebulletsforQRG"/>
            </w:pPr>
            <w:r w:rsidRPr="00184FEB">
              <w:t>People managers actively advocate for and promote the importance of learning</w:t>
            </w:r>
            <w:r w:rsidR="00E92C24" w:rsidRPr="00184FEB">
              <w:t>.</w:t>
            </w:r>
          </w:p>
          <w:p w14:paraId="7AEEE094" w14:textId="646F421E" w:rsidR="00262522" w:rsidRPr="00184FEB" w:rsidRDefault="00262522" w:rsidP="22A24EC1">
            <w:pPr>
              <w:pStyle w:val="TablebulletsforQRG"/>
              <w:spacing w:after="120"/>
            </w:pPr>
            <w:bookmarkStart w:id="1" w:name="_Int_hB8rhcs5"/>
            <w:r w:rsidRPr="00184FEB">
              <w:t>People managers</w:t>
            </w:r>
            <w:bookmarkEnd w:id="1"/>
            <w:r w:rsidRPr="00184FEB">
              <w:t xml:space="preserve"> embed learning into </w:t>
            </w:r>
            <w:r w:rsidR="5B430335" w:rsidRPr="00184FEB">
              <w:t>the everyday</w:t>
            </w:r>
            <w:r w:rsidRPr="00184FEB">
              <w:t xml:space="preserve"> work of their teams</w:t>
            </w:r>
            <w:r w:rsidR="00E92C24" w:rsidRPr="00184FEB">
              <w:t>.</w:t>
            </w:r>
          </w:p>
        </w:tc>
        <w:tc>
          <w:tcPr>
            <w:tcW w:w="1417" w:type="dxa"/>
            <w:tcBorders>
              <w:bottom w:val="single" w:sz="4" w:space="0" w:color="auto"/>
            </w:tcBorders>
            <w:shd w:val="clear" w:color="auto" w:fill="F0E0E1"/>
          </w:tcPr>
          <w:p w14:paraId="007AF49D" w14:textId="77777777" w:rsidR="009C16C0" w:rsidRPr="00184FEB" w:rsidRDefault="0000644F" w:rsidP="00900314">
            <w:pPr>
              <w:pStyle w:val="tabletextnormal"/>
              <w:rPr>
                <w:rFonts w:ascii="Arial" w:hAnsi="Arial" w:cs="Arial"/>
              </w:rPr>
            </w:pPr>
            <w:r w:rsidRPr="00184FEB">
              <w:rPr>
                <w:rFonts w:ascii="Arial" w:hAnsi="Arial" w:cs="Arial"/>
              </w:rPr>
              <w:t>Dept. of Defence</w:t>
            </w:r>
          </w:p>
        </w:tc>
        <w:tc>
          <w:tcPr>
            <w:tcW w:w="1417" w:type="dxa"/>
            <w:tcBorders>
              <w:bottom w:val="single" w:sz="4" w:space="0" w:color="auto"/>
            </w:tcBorders>
            <w:shd w:val="clear" w:color="auto" w:fill="F0E0E1"/>
          </w:tcPr>
          <w:p w14:paraId="6D78CF68" w14:textId="475FE40B" w:rsidR="6F1E0445" w:rsidRPr="00184FEB" w:rsidRDefault="6F1E0445" w:rsidP="5DE59694">
            <w:pPr>
              <w:pStyle w:val="tabletextnormal"/>
              <w:rPr>
                <w:rFonts w:ascii="Arial" w:hAnsi="Arial" w:cs="Arial"/>
              </w:rPr>
            </w:pPr>
            <w:r w:rsidRPr="00184FEB">
              <w:rPr>
                <w:rFonts w:ascii="Arial" w:hAnsi="Arial" w:cs="Arial"/>
              </w:rPr>
              <w:t>NOPSEMA</w:t>
            </w:r>
            <w:r w:rsidR="00CF6958" w:rsidRPr="00184FEB">
              <w:rPr>
                <w:rFonts w:ascii="Arial" w:hAnsi="Arial" w:cs="Arial"/>
              </w:rPr>
              <w:t>,</w:t>
            </w:r>
          </w:p>
          <w:p w14:paraId="5CEBC184" w14:textId="01141794" w:rsidR="00262522" w:rsidRPr="00184FEB" w:rsidRDefault="00262522" w:rsidP="00CF6958">
            <w:pPr>
              <w:pStyle w:val="tabletextnormal"/>
              <w:spacing w:before="120"/>
              <w:rPr>
                <w:rFonts w:ascii="Arial" w:hAnsi="Arial" w:cs="Arial"/>
              </w:rPr>
            </w:pPr>
            <w:r w:rsidRPr="00184FEB">
              <w:rPr>
                <w:rFonts w:ascii="Arial" w:hAnsi="Arial" w:cs="Arial"/>
              </w:rPr>
              <w:t>APS Academy</w:t>
            </w:r>
            <w:r w:rsidR="00CF6958" w:rsidRPr="00184FEB">
              <w:rPr>
                <w:rFonts w:ascii="Arial" w:hAnsi="Arial" w:cs="Arial"/>
              </w:rPr>
              <w:t>,</w:t>
            </w:r>
          </w:p>
          <w:p w14:paraId="76B57FCE" w14:textId="608FC566" w:rsidR="00262522" w:rsidRPr="00184FEB" w:rsidRDefault="17AE7257" w:rsidP="00CF6958">
            <w:pPr>
              <w:pStyle w:val="tabletextnormal"/>
              <w:spacing w:before="120"/>
              <w:rPr>
                <w:rFonts w:ascii="Arial" w:hAnsi="Arial" w:cs="Arial"/>
              </w:rPr>
            </w:pPr>
            <w:r w:rsidRPr="00184FEB">
              <w:rPr>
                <w:rFonts w:ascii="Arial" w:hAnsi="Arial" w:cs="Arial"/>
              </w:rPr>
              <w:t xml:space="preserve">APS </w:t>
            </w:r>
            <w:r w:rsidR="4240ECB8" w:rsidRPr="00184FEB">
              <w:rPr>
                <w:rFonts w:ascii="Arial" w:hAnsi="Arial" w:cs="Arial"/>
              </w:rPr>
              <w:t>a</w:t>
            </w:r>
            <w:r w:rsidRPr="00184FEB">
              <w:rPr>
                <w:rFonts w:ascii="Arial" w:hAnsi="Arial" w:cs="Arial"/>
              </w:rPr>
              <w:t>gencies</w:t>
            </w:r>
          </w:p>
        </w:tc>
      </w:tr>
      <w:tr w:rsidR="00D665B9" w:rsidRPr="00184FEB" w14:paraId="4B73B618" w14:textId="77777777" w:rsidTr="00BB24C7">
        <w:trPr>
          <w:trHeight w:val="3603"/>
        </w:trPr>
        <w:tc>
          <w:tcPr>
            <w:tcW w:w="6803" w:type="dxa"/>
            <w:shd w:val="clear" w:color="auto" w:fill="F6EDED"/>
          </w:tcPr>
          <w:p w14:paraId="76F60218" w14:textId="77777777" w:rsidR="00D665B9" w:rsidRPr="00184FEB" w:rsidRDefault="00D665B9" w:rsidP="009C1D04">
            <w:pPr>
              <w:pStyle w:val="tabletextnormal"/>
              <w:rPr>
                <w:sz w:val="21"/>
                <w:szCs w:val="21"/>
              </w:rPr>
            </w:pPr>
            <w:r w:rsidRPr="00184FEB">
              <w:rPr>
                <w:b/>
                <w:bCs/>
                <w:sz w:val="21"/>
                <w:szCs w:val="21"/>
              </w:rPr>
              <w:t>1.4 Facilitate and promote agency development secondment opportunities</w:t>
            </w:r>
          </w:p>
          <w:p w14:paraId="2BEADCAA" w14:textId="5D2E038B" w:rsidR="000C3E74" w:rsidRPr="00184FEB" w:rsidRDefault="000C3E74" w:rsidP="000C3E74">
            <w:pPr>
              <w:pStyle w:val="tabletextnormal"/>
            </w:pPr>
            <w:r w:rsidRPr="00184FEB">
              <w:t xml:space="preserve">We will facilitate and promote secondment opportunities </w:t>
            </w:r>
            <w:r w:rsidR="4E51EBFB" w:rsidRPr="00184FEB">
              <w:t>to</w:t>
            </w:r>
            <w:r w:rsidRPr="00184FEB">
              <w:t xml:space="preserve"> develop capability through practical, on-the-job learning. </w:t>
            </w:r>
          </w:p>
          <w:p w14:paraId="770E78A2" w14:textId="77777777" w:rsidR="000C3E74" w:rsidRPr="00184FEB" w:rsidRDefault="000C3E74" w:rsidP="000C3E74">
            <w:pPr>
              <w:pStyle w:val="tabletextnormal"/>
            </w:pPr>
            <w:r w:rsidRPr="00184FEB">
              <w:t xml:space="preserve">Secondments offer a valuable form of development by enabling employees to learn through the flow of work. </w:t>
            </w:r>
          </w:p>
          <w:p w14:paraId="7C160111" w14:textId="77777777" w:rsidR="00D665B9" w:rsidRPr="00184FEB" w:rsidRDefault="00D665B9" w:rsidP="00B84AC3">
            <w:pPr>
              <w:pStyle w:val="tabletextnormal"/>
              <w:spacing w:before="120"/>
              <w:rPr>
                <w:b/>
                <w:iCs/>
              </w:rPr>
            </w:pPr>
            <w:r w:rsidRPr="00184FEB">
              <w:rPr>
                <w:b/>
                <w:iCs/>
              </w:rPr>
              <w:t xml:space="preserve">What is the expected change we will see? </w:t>
            </w:r>
          </w:p>
          <w:p w14:paraId="22076146" w14:textId="77777777" w:rsidR="00D665B9" w:rsidRPr="00184FEB" w:rsidRDefault="00D665B9" w:rsidP="006957F7">
            <w:pPr>
              <w:pStyle w:val="TablebulletsforQRG"/>
            </w:pPr>
            <w:r w:rsidRPr="00184FEB">
              <w:t>APS Academy acts as a broker to connect agencies who could partner or mentor other agencies in development secondment approaches</w:t>
            </w:r>
            <w:r w:rsidR="00E92C24" w:rsidRPr="00184FEB">
              <w:t>.</w:t>
            </w:r>
          </w:p>
          <w:p w14:paraId="328A1127" w14:textId="77777777" w:rsidR="00D665B9" w:rsidRPr="00184FEB" w:rsidRDefault="00D665B9" w:rsidP="00900314">
            <w:pPr>
              <w:pStyle w:val="TablebulletsforQRG"/>
            </w:pPr>
            <w:r w:rsidRPr="00184FEB">
              <w:t>Agencies actively share their expertise and mentor their colleagues</w:t>
            </w:r>
            <w:r w:rsidR="00E92C24" w:rsidRPr="00184FEB">
              <w:t>.</w:t>
            </w:r>
          </w:p>
        </w:tc>
        <w:tc>
          <w:tcPr>
            <w:tcW w:w="1417" w:type="dxa"/>
            <w:shd w:val="clear" w:color="auto" w:fill="F6EDED"/>
          </w:tcPr>
          <w:p w14:paraId="3E53F39E" w14:textId="77777777" w:rsidR="00D665B9" w:rsidRPr="00184FEB" w:rsidRDefault="00D665B9" w:rsidP="009C1D04">
            <w:pPr>
              <w:pStyle w:val="tabletextnormal"/>
              <w:rPr>
                <w:rFonts w:ascii="Arial" w:hAnsi="Arial" w:cs="Arial"/>
              </w:rPr>
            </w:pPr>
            <w:r w:rsidRPr="00184FEB">
              <w:rPr>
                <w:rFonts w:ascii="Arial" w:hAnsi="Arial" w:cs="Arial"/>
              </w:rPr>
              <w:t>APS Academy</w:t>
            </w:r>
          </w:p>
        </w:tc>
        <w:tc>
          <w:tcPr>
            <w:tcW w:w="1417" w:type="dxa"/>
            <w:shd w:val="clear" w:color="auto" w:fill="F6EDED"/>
          </w:tcPr>
          <w:p w14:paraId="6CD3166D" w14:textId="77777777" w:rsidR="00D665B9" w:rsidRPr="00184FEB" w:rsidRDefault="00D665B9" w:rsidP="009C1D04">
            <w:pPr>
              <w:pStyle w:val="tabletextnormal"/>
              <w:rPr>
                <w:rFonts w:ascii="Arial" w:hAnsi="Arial" w:cs="Arial"/>
              </w:rPr>
            </w:pPr>
            <w:r w:rsidRPr="00184FEB">
              <w:rPr>
                <w:rFonts w:ascii="Arial" w:hAnsi="Arial" w:cs="Arial"/>
              </w:rPr>
              <w:t xml:space="preserve">APS </w:t>
            </w:r>
            <w:r w:rsidR="00D42543" w:rsidRPr="00184FEB">
              <w:rPr>
                <w:rFonts w:ascii="Arial" w:hAnsi="Arial" w:cs="Arial"/>
              </w:rPr>
              <w:t>a</w:t>
            </w:r>
            <w:r w:rsidRPr="00184FEB">
              <w:rPr>
                <w:rFonts w:ascii="Arial" w:hAnsi="Arial" w:cs="Arial"/>
              </w:rPr>
              <w:t>gencies</w:t>
            </w:r>
          </w:p>
        </w:tc>
      </w:tr>
    </w:tbl>
    <w:p w14:paraId="672A6659" w14:textId="77777777" w:rsidR="00A87527" w:rsidRPr="00184FEB" w:rsidRDefault="00A87527" w:rsidP="00057A28"/>
    <w:p w14:paraId="0A37501D" w14:textId="77777777" w:rsidR="00A87527" w:rsidRPr="00184FEB" w:rsidRDefault="00A87527">
      <w:pPr>
        <w:spacing w:line="360" w:lineRule="auto"/>
      </w:pPr>
      <w:r w:rsidRPr="00184FEB">
        <w:br w:type="page"/>
      </w:r>
    </w:p>
    <w:p w14:paraId="2C083806" w14:textId="77777777" w:rsidR="00057A28" w:rsidRPr="00184FEB" w:rsidRDefault="00A87527" w:rsidP="00335A9F">
      <w:pPr>
        <w:pStyle w:val="Heading1"/>
        <w:spacing w:after="360"/>
        <w:ind w:left="-284"/>
      </w:pPr>
      <w:r w:rsidRPr="00184FEB">
        <w:t>Pillar 2 – Governance</w:t>
      </w:r>
    </w:p>
    <w:tbl>
      <w:tblPr>
        <w:tblStyle w:val="TableGrid"/>
        <w:tblW w:w="9725" w:type="dxa"/>
        <w:tblInd w:w="-284" w:type="dxa"/>
        <w:tblBorders>
          <w:left w:val="none" w:sz="0" w:space="0" w:color="auto"/>
          <w:right w:val="none" w:sz="0" w:space="0" w:color="auto"/>
        </w:tblBorders>
        <w:tblCellMar>
          <w:top w:w="85" w:type="dxa"/>
          <w:bottom w:w="28" w:type="dxa"/>
        </w:tblCellMar>
        <w:tblLook w:val="04A0" w:firstRow="1" w:lastRow="0" w:firstColumn="1" w:lastColumn="0" w:noHBand="0" w:noVBand="1"/>
        <w:tblCaption w:val="Pillar 2 – Governance: Horizon Adapt (2025–2026)"/>
      </w:tblPr>
      <w:tblGrid>
        <w:gridCol w:w="6747"/>
        <w:gridCol w:w="1417"/>
        <w:gridCol w:w="1561"/>
      </w:tblGrid>
      <w:tr w:rsidR="0088719D" w:rsidRPr="00184FEB" w14:paraId="3A1C8EB7" w14:textId="77777777" w:rsidTr="00184FEB">
        <w:trPr>
          <w:trHeight w:val="572"/>
          <w:tblHeader/>
        </w:trPr>
        <w:tc>
          <w:tcPr>
            <w:tcW w:w="6747" w:type="dxa"/>
            <w:tcBorders>
              <w:bottom w:val="single" w:sz="4" w:space="0" w:color="auto"/>
            </w:tcBorders>
            <w:shd w:val="clear" w:color="auto" w:fill="053A68" w:themeFill="text2"/>
            <w:vAlign w:val="center"/>
          </w:tcPr>
          <w:p w14:paraId="2DEDCF4F" w14:textId="77777777" w:rsidR="00F04CE3" w:rsidRPr="00184FEB" w:rsidRDefault="00F04CE3" w:rsidP="00B84AC3">
            <w:pPr>
              <w:pStyle w:val="tableheading"/>
              <w:rPr>
                <w:sz w:val="28"/>
                <w:szCs w:val="28"/>
              </w:rPr>
            </w:pPr>
            <w:r w:rsidRPr="00184FEB">
              <w:rPr>
                <w:color w:val="FFFFFF" w:themeColor="background1"/>
                <w:sz w:val="28"/>
                <w:szCs w:val="28"/>
              </w:rPr>
              <w:t>Action</w:t>
            </w:r>
          </w:p>
        </w:tc>
        <w:tc>
          <w:tcPr>
            <w:tcW w:w="1417" w:type="dxa"/>
            <w:tcBorders>
              <w:bottom w:val="single" w:sz="4" w:space="0" w:color="auto"/>
            </w:tcBorders>
            <w:shd w:val="clear" w:color="auto" w:fill="053A68" w:themeFill="text2"/>
            <w:vAlign w:val="center"/>
          </w:tcPr>
          <w:p w14:paraId="411444EF" w14:textId="77777777" w:rsidR="00F04CE3" w:rsidRPr="00184FEB" w:rsidRDefault="00F04CE3" w:rsidP="00B84AC3">
            <w:pPr>
              <w:pStyle w:val="tableheading"/>
              <w:rPr>
                <w:sz w:val="24"/>
                <w:szCs w:val="24"/>
              </w:rPr>
            </w:pPr>
            <w:r w:rsidRPr="00184FEB">
              <w:rPr>
                <w:color w:val="FFFFFF" w:themeColor="background1"/>
                <w:sz w:val="24"/>
                <w:szCs w:val="24"/>
              </w:rPr>
              <w:t>Lead</w:t>
            </w:r>
          </w:p>
        </w:tc>
        <w:tc>
          <w:tcPr>
            <w:tcW w:w="1561" w:type="dxa"/>
            <w:tcBorders>
              <w:bottom w:val="single" w:sz="4" w:space="0" w:color="auto"/>
            </w:tcBorders>
            <w:shd w:val="clear" w:color="auto" w:fill="053A68" w:themeFill="text2"/>
            <w:vAlign w:val="center"/>
          </w:tcPr>
          <w:p w14:paraId="074AC36E" w14:textId="77777777" w:rsidR="00F04CE3" w:rsidRPr="00184FEB" w:rsidRDefault="00F04CE3" w:rsidP="00B84AC3">
            <w:pPr>
              <w:pStyle w:val="tableheading"/>
              <w:ind w:right="26"/>
              <w:rPr>
                <w:sz w:val="24"/>
                <w:szCs w:val="24"/>
              </w:rPr>
            </w:pPr>
            <w:r w:rsidRPr="00184FEB">
              <w:rPr>
                <w:color w:val="FFFFFF" w:themeColor="background1"/>
                <w:sz w:val="24"/>
                <w:szCs w:val="24"/>
              </w:rPr>
              <w:t>Partner</w:t>
            </w:r>
          </w:p>
        </w:tc>
      </w:tr>
      <w:tr w:rsidR="0088719D" w:rsidRPr="00184FEB" w14:paraId="0E837BB9" w14:textId="77777777" w:rsidTr="00184FEB">
        <w:trPr>
          <w:trHeight w:val="4195"/>
        </w:trPr>
        <w:tc>
          <w:tcPr>
            <w:tcW w:w="6747" w:type="dxa"/>
            <w:tcBorders>
              <w:bottom w:val="single" w:sz="4" w:space="0" w:color="auto"/>
            </w:tcBorders>
            <w:shd w:val="clear" w:color="auto" w:fill="DBDBE2"/>
          </w:tcPr>
          <w:p w14:paraId="3A6A05E8" w14:textId="174A4C60" w:rsidR="00F04CE3" w:rsidRPr="00184FEB" w:rsidRDefault="00F04CE3" w:rsidP="00FB66C9">
            <w:pPr>
              <w:pStyle w:val="tabletextnormal"/>
              <w:rPr>
                <w:b/>
                <w:bCs/>
                <w:sz w:val="21"/>
                <w:szCs w:val="21"/>
              </w:rPr>
            </w:pPr>
            <w:r w:rsidRPr="00184FEB">
              <w:rPr>
                <w:b/>
                <w:bCs/>
                <w:sz w:val="21"/>
                <w:szCs w:val="21"/>
              </w:rPr>
              <w:t>2.1 Develop a capability governance landscape map, including relevant Academies, Communities of Practice, Centres of Excellence, and Professions</w:t>
            </w:r>
          </w:p>
          <w:p w14:paraId="6BF5CC8F" w14:textId="13D13D6C" w:rsidR="00F04CE3" w:rsidRPr="00184FEB" w:rsidRDefault="00F04CE3" w:rsidP="00ED7C8F">
            <w:pPr>
              <w:pStyle w:val="tabletextnormal"/>
            </w:pPr>
            <w:r w:rsidRPr="00184FEB">
              <w:t xml:space="preserve">We will develop a capability landscape governance map to clarify who is responsible for what across the APS. </w:t>
            </w:r>
          </w:p>
          <w:p w14:paraId="3D4D9D00" w14:textId="77777777" w:rsidR="00F04CE3" w:rsidRPr="00184FEB" w:rsidRDefault="00F04CE3" w:rsidP="00ED7C8F">
            <w:pPr>
              <w:pStyle w:val="tabletextnormal"/>
            </w:pPr>
            <w:r w:rsidRPr="00184FEB">
              <w:t xml:space="preserve">We will work with key entities to map their roles, responsibilities and reach. The map will also outline relevant accountability arrangements and reporting mechanisms to APS committees, helping to strengthen coordination and visibility across the learning eco-system. </w:t>
            </w:r>
          </w:p>
          <w:p w14:paraId="432DCC73" w14:textId="77777777" w:rsidR="00F04CE3" w:rsidRPr="00184FEB" w:rsidRDefault="00F04CE3" w:rsidP="00F04CE3">
            <w:pPr>
              <w:pStyle w:val="tabletextnormal"/>
              <w:spacing w:before="120"/>
              <w:rPr>
                <w:b/>
                <w:iCs/>
                <w:sz w:val="21"/>
                <w:szCs w:val="21"/>
              </w:rPr>
            </w:pPr>
            <w:r w:rsidRPr="00184FEB">
              <w:rPr>
                <w:b/>
                <w:iCs/>
                <w:sz w:val="21"/>
                <w:szCs w:val="21"/>
              </w:rPr>
              <w:t xml:space="preserve">What is the expected change we will see? </w:t>
            </w:r>
          </w:p>
          <w:p w14:paraId="0795CA61" w14:textId="77777777" w:rsidR="00F04CE3" w:rsidRPr="00184FEB" w:rsidRDefault="00F04CE3" w:rsidP="006957F7">
            <w:pPr>
              <w:pStyle w:val="TablebulletsforQRG"/>
            </w:pPr>
            <w:r w:rsidRPr="00184FEB">
              <w:t>Entities align and enhance capability-building efforts across the APS, reducing duplication and targeting known gaps</w:t>
            </w:r>
            <w:r w:rsidR="00E92C24" w:rsidRPr="00184FEB">
              <w:t>.</w:t>
            </w:r>
          </w:p>
        </w:tc>
        <w:tc>
          <w:tcPr>
            <w:tcW w:w="1417" w:type="dxa"/>
            <w:tcBorders>
              <w:bottom w:val="single" w:sz="4" w:space="0" w:color="auto"/>
            </w:tcBorders>
            <w:shd w:val="clear" w:color="auto" w:fill="DBDBE2"/>
          </w:tcPr>
          <w:p w14:paraId="16E88501" w14:textId="77777777" w:rsidR="00F04CE3" w:rsidRPr="00184FEB" w:rsidRDefault="00F04CE3" w:rsidP="00ED7C8F">
            <w:pPr>
              <w:pStyle w:val="tabletextnormal"/>
            </w:pPr>
            <w:r w:rsidRPr="00184FEB">
              <w:t>APS Academy</w:t>
            </w:r>
          </w:p>
        </w:tc>
        <w:tc>
          <w:tcPr>
            <w:tcW w:w="1561" w:type="dxa"/>
            <w:tcBorders>
              <w:bottom w:val="single" w:sz="4" w:space="0" w:color="auto"/>
            </w:tcBorders>
            <w:shd w:val="clear" w:color="auto" w:fill="DBDBE2"/>
          </w:tcPr>
          <w:p w14:paraId="666F6A55" w14:textId="77777777" w:rsidR="00F04CE3" w:rsidRPr="00184FEB" w:rsidRDefault="00F04CE3" w:rsidP="00ED7C8F">
            <w:pPr>
              <w:pStyle w:val="tabletextnormal"/>
            </w:pPr>
            <w:r w:rsidRPr="00184FEB">
              <w:t>Professions</w:t>
            </w:r>
          </w:p>
        </w:tc>
      </w:tr>
      <w:tr w:rsidR="0088719D" w:rsidRPr="00184FEB" w14:paraId="32AE858E" w14:textId="77777777" w:rsidTr="00184FEB">
        <w:trPr>
          <w:trHeight w:val="4370"/>
        </w:trPr>
        <w:tc>
          <w:tcPr>
            <w:tcW w:w="6747" w:type="dxa"/>
            <w:shd w:val="clear" w:color="auto" w:fill="E9EAEF"/>
          </w:tcPr>
          <w:p w14:paraId="32A33A8C" w14:textId="5234D97B" w:rsidR="00F04CE3" w:rsidRPr="00184FEB" w:rsidRDefault="00F04CE3" w:rsidP="00ED7C8F">
            <w:pPr>
              <w:pStyle w:val="tabletextnormal"/>
              <w:rPr>
                <w:b/>
                <w:bCs/>
                <w:sz w:val="21"/>
                <w:szCs w:val="21"/>
              </w:rPr>
            </w:pPr>
            <w:r w:rsidRPr="00184FEB">
              <w:rPr>
                <w:b/>
                <w:bCs/>
                <w:sz w:val="21"/>
                <w:szCs w:val="21"/>
              </w:rPr>
              <w:t xml:space="preserve">2.2 Establish Learning Technology Governance Group to guide implementation of a One-APS learning technology approach </w:t>
            </w:r>
          </w:p>
          <w:p w14:paraId="7378442A" w14:textId="1EFE10A5" w:rsidR="00F04CE3" w:rsidRPr="00184FEB" w:rsidRDefault="00F04CE3" w:rsidP="00F04CE3">
            <w:pPr>
              <w:pStyle w:val="tabletextnormal"/>
            </w:pPr>
            <w:r w:rsidRPr="00184FEB">
              <w:t>We will establish a Learning Technology Governance Group to guide implementation of a One-APS approach to learning technology. The group will operate as a sub-committee of the APS Learning Board and include representatives from a diverse mix of agencies. It will guide the implementation of the APS Learning Technology Roadmap and provide strategic oversight to support alignment, efficiency and innovation in the use of learning t</w:t>
            </w:r>
            <w:r w:rsidR="001A79A1" w:rsidRPr="00184FEB">
              <w:t>echnologies across the service.</w:t>
            </w:r>
          </w:p>
          <w:p w14:paraId="28DAEA12" w14:textId="77777777" w:rsidR="00F04CE3" w:rsidRPr="00184FEB" w:rsidRDefault="00F04CE3" w:rsidP="00F04CE3">
            <w:pPr>
              <w:pStyle w:val="tabletextnormal"/>
              <w:spacing w:before="120"/>
              <w:rPr>
                <w:b/>
                <w:iCs/>
                <w:sz w:val="21"/>
                <w:szCs w:val="21"/>
              </w:rPr>
            </w:pPr>
            <w:r w:rsidRPr="00184FEB">
              <w:rPr>
                <w:b/>
                <w:iCs/>
                <w:sz w:val="21"/>
                <w:szCs w:val="21"/>
              </w:rPr>
              <w:t xml:space="preserve">What is the expected change we will see? </w:t>
            </w:r>
          </w:p>
          <w:p w14:paraId="1D4D9FE6" w14:textId="77777777" w:rsidR="00F04CE3" w:rsidRPr="00184FEB" w:rsidRDefault="00F04CE3" w:rsidP="000C3E74">
            <w:pPr>
              <w:pStyle w:val="TablebulletsforQRG"/>
            </w:pPr>
            <w:r w:rsidRPr="00184FEB">
              <w:t>Agencies incorporate guidance and best practice recommended by the Governance Group</w:t>
            </w:r>
            <w:r w:rsidR="001A79A1" w:rsidRPr="00184FEB">
              <w:t>.</w:t>
            </w:r>
          </w:p>
        </w:tc>
        <w:tc>
          <w:tcPr>
            <w:tcW w:w="1417" w:type="dxa"/>
            <w:shd w:val="clear" w:color="auto" w:fill="E9EAEF"/>
          </w:tcPr>
          <w:p w14:paraId="1511D6D3" w14:textId="77777777" w:rsidR="00F04CE3" w:rsidRPr="00184FEB" w:rsidRDefault="00F04CE3" w:rsidP="00ED7C8F">
            <w:pPr>
              <w:pStyle w:val="tabletextnormal"/>
            </w:pPr>
            <w:r w:rsidRPr="00184FEB">
              <w:t>APS Academy</w:t>
            </w:r>
          </w:p>
        </w:tc>
        <w:tc>
          <w:tcPr>
            <w:tcW w:w="1561" w:type="dxa"/>
            <w:shd w:val="clear" w:color="auto" w:fill="E9EAEF"/>
          </w:tcPr>
          <w:p w14:paraId="3BB7CE80" w14:textId="558FC390" w:rsidR="001A79A1" w:rsidRPr="00184FEB" w:rsidRDefault="00F04CE3" w:rsidP="00ED7C8F">
            <w:pPr>
              <w:pStyle w:val="tabletextnormal"/>
            </w:pPr>
            <w:r w:rsidRPr="00184FEB">
              <w:t>D</w:t>
            </w:r>
            <w:r w:rsidR="0019292E" w:rsidRPr="00184FEB">
              <w:t>igital Transformation Agency</w:t>
            </w:r>
            <w:r w:rsidR="001A79A1" w:rsidRPr="00184FEB">
              <w:t>,</w:t>
            </w:r>
          </w:p>
          <w:p w14:paraId="14CE6DB9" w14:textId="77777777" w:rsidR="00F04CE3" w:rsidRPr="00184FEB" w:rsidRDefault="00F04CE3" w:rsidP="001A79A1">
            <w:pPr>
              <w:pStyle w:val="tabletextnormal"/>
              <w:spacing w:before="120"/>
            </w:pPr>
            <w:r w:rsidRPr="00184FEB">
              <w:t>Digital Profession</w:t>
            </w:r>
          </w:p>
        </w:tc>
      </w:tr>
      <w:tr w:rsidR="0088719D" w:rsidRPr="00184FEB" w14:paraId="5FAA4DD8" w14:textId="77777777" w:rsidTr="00184FEB">
        <w:trPr>
          <w:trHeight w:val="2540"/>
        </w:trPr>
        <w:tc>
          <w:tcPr>
            <w:tcW w:w="6747" w:type="dxa"/>
            <w:tcBorders>
              <w:bottom w:val="single" w:sz="4" w:space="0" w:color="auto"/>
            </w:tcBorders>
            <w:shd w:val="clear" w:color="auto" w:fill="DBDBE2"/>
          </w:tcPr>
          <w:p w14:paraId="7F4746DF" w14:textId="77777777" w:rsidR="00F04CE3" w:rsidRPr="00184FEB" w:rsidRDefault="00F04CE3" w:rsidP="00ED7C8F">
            <w:pPr>
              <w:pStyle w:val="tabletextnormal"/>
              <w:rPr>
                <w:b/>
                <w:bCs/>
                <w:sz w:val="21"/>
                <w:szCs w:val="21"/>
              </w:rPr>
            </w:pPr>
            <w:r w:rsidRPr="00184FEB">
              <w:rPr>
                <w:b/>
                <w:bCs/>
                <w:sz w:val="21"/>
                <w:szCs w:val="21"/>
              </w:rPr>
              <w:t xml:space="preserve">2.3 Establish a Hub for Learning Evaluation </w:t>
            </w:r>
          </w:p>
          <w:p w14:paraId="2A959DD5" w14:textId="79071002" w:rsidR="00F04CE3" w:rsidRPr="00184FEB" w:rsidRDefault="00F04CE3" w:rsidP="00ED7C8F">
            <w:pPr>
              <w:pStyle w:val="tabletextnormal"/>
            </w:pPr>
            <w:r w:rsidRPr="00184FEB">
              <w:t xml:space="preserve">We will establish a central hub to support and strengthen learning evaluation across the APS. </w:t>
            </w:r>
          </w:p>
          <w:p w14:paraId="42F1A492" w14:textId="77777777" w:rsidR="00F04CE3" w:rsidRPr="00184FEB" w:rsidRDefault="00F04CE3" w:rsidP="00ED7C8F">
            <w:pPr>
              <w:pStyle w:val="tabletextnormal"/>
            </w:pPr>
            <w:r w:rsidRPr="00184FEB">
              <w:t xml:space="preserve">The hub will provide expertise, resources and guidance to help agencies improve their evaluation practices. By building capability in this area, the APS can better understand the impact of learning investments and drive improved capability outcomes across the service. </w:t>
            </w:r>
          </w:p>
          <w:p w14:paraId="20C5B987" w14:textId="77777777" w:rsidR="00F04CE3" w:rsidRPr="00184FEB" w:rsidRDefault="00F04CE3" w:rsidP="00F04CE3">
            <w:pPr>
              <w:pStyle w:val="tabletextnormal"/>
              <w:spacing w:before="120"/>
              <w:rPr>
                <w:b/>
                <w:iCs/>
              </w:rPr>
            </w:pPr>
            <w:r w:rsidRPr="00184FEB">
              <w:rPr>
                <w:b/>
                <w:iCs/>
              </w:rPr>
              <w:t xml:space="preserve">What is the expected change we will see? </w:t>
            </w:r>
          </w:p>
          <w:p w14:paraId="0D6B65FF" w14:textId="77777777" w:rsidR="00F04CE3" w:rsidRPr="00184FEB" w:rsidRDefault="00F04CE3" w:rsidP="000C3E74">
            <w:pPr>
              <w:pStyle w:val="TablebulletsforQRG"/>
            </w:pPr>
            <w:r w:rsidRPr="00184FEB">
              <w:t>Agencies and practitioners build evaluation into learning design</w:t>
            </w:r>
            <w:r w:rsidR="00E92C24" w:rsidRPr="00184FEB">
              <w:t>.</w:t>
            </w:r>
          </w:p>
        </w:tc>
        <w:tc>
          <w:tcPr>
            <w:tcW w:w="1417" w:type="dxa"/>
            <w:tcBorders>
              <w:bottom w:val="single" w:sz="4" w:space="0" w:color="auto"/>
            </w:tcBorders>
            <w:shd w:val="clear" w:color="auto" w:fill="DBDBE2"/>
          </w:tcPr>
          <w:p w14:paraId="72660168" w14:textId="77777777" w:rsidR="00F04CE3" w:rsidRPr="00184FEB" w:rsidRDefault="00F04CE3" w:rsidP="00ED7C8F">
            <w:pPr>
              <w:pStyle w:val="tabletextnormal"/>
            </w:pPr>
            <w:r w:rsidRPr="00184FEB">
              <w:t>APS Academy</w:t>
            </w:r>
          </w:p>
        </w:tc>
        <w:tc>
          <w:tcPr>
            <w:tcW w:w="1561" w:type="dxa"/>
            <w:tcBorders>
              <w:bottom w:val="single" w:sz="4" w:space="0" w:color="auto"/>
            </w:tcBorders>
            <w:shd w:val="clear" w:color="auto" w:fill="DBDBE2"/>
          </w:tcPr>
          <w:p w14:paraId="4A07FB03" w14:textId="77777777" w:rsidR="001A79A1" w:rsidRPr="00184FEB" w:rsidRDefault="00F04CE3" w:rsidP="00ED7C8F">
            <w:pPr>
              <w:pStyle w:val="tabletextnormal"/>
            </w:pPr>
            <w:r w:rsidRPr="00184FEB">
              <w:t>Professions</w:t>
            </w:r>
            <w:r w:rsidR="001A79A1" w:rsidRPr="00184FEB">
              <w:t>,</w:t>
            </w:r>
          </w:p>
          <w:p w14:paraId="5E928AC3" w14:textId="79FD0227" w:rsidR="00F04CE3" w:rsidRPr="00184FEB" w:rsidRDefault="00F04CE3" w:rsidP="001A60B3">
            <w:pPr>
              <w:pStyle w:val="tabletextnormal"/>
              <w:spacing w:before="120"/>
            </w:pPr>
            <w:r w:rsidRPr="00184FEB">
              <w:t>A</w:t>
            </w:r>
            <w:r w:rsidR="001A60B3" w:rsidRPr="00184FEB">
              <w:t>ustralian Taxation Office</w:t>
            </w:r>
          </w:p>
        </w:tc>
      </w:tr>
      <w:tr w:rsidR="0088719D" w:rsidRPr="00184FEB" w14:paraId="0148DAD7" w14:textId="77777777" w:rsidTr="00184FEB">
        <w:trPr>
          <w:trHeight w:val="3856"/>
        </w:trPr>
        <w:tc>
          <w:tcPr>
            <w:tcW w:w="6747" w:type="dxa"/>
            <w:tcBorders>
              <w:bottom w:val="single" w:sz="4" w:space="0" w:color="auto"/>
            </w:tcBorders>
            <w:shd w:val="clear" w:color="auto" w:fill="E9EAEF"/>
          </w:tcPr>
          <w:p w14:paraId="7204304A" w14:textId="77777777" w:rsidR="00F04CE3" w:rsidRPr="00184FEB" w:rsidRDefault="00F04CE3" w:rsidP="00ED7C8F">
            <w:pPr>
              <w:pStyle w:val="tabletextnormal"/>
              <w:rPr>
                <w:b/>
                <w:bCs/>
                <w:sz w:val="21"/>
                <w:szCs w:val="21"/>
              </w:rPr>
            </w:pPr>
            <w:r w:rsidRPr="00184FEB">
              <w:rPr>
                <w:b/>
                <w:bCs/>
                <w:sz w:val="21"/>
                <w:szCs w:val="21"/>
              </w:rPr>
              <w:t>2.4 Implement annual APS Agency L&amp;D Survey</w:t>
            </w:r>
          </w:p>
          <w:p w14:paraId="6D87AE0C" w14:textId="43E310C4" w:rsidR="00F04CE3" w:rsidRPr="00184FEB" w:rsidRDefault="00F04CE3" w:rsidP="00ED7C8F">
            <w:pPr>
              <w:pStyle w:val="tabletextnormal"/>
            </w:pPr>
            <w:r w:rsidRPr="00184FEB">
              <w:t xml:space="preserve">We will implement an annual APS-wide survey of agencies to build a picture of L&amp;D practices, capability and learning culture across the service. </w:t>
            </w:r>
          </w:p>
          <w:p w14:paraId="5CDD90F4" w14:textId="77777777" w:rsidR="00F04CE3" w:rsidRPr="00184FEB" w:rsidRDefault="00F04CE3" w:rsidP="00ED7C8F">
            <w:pPr>
              <w:pStyle w:val="tabletextnormal"/>
            </w:pPr>
            <w:r w:rsidRPr="00184FEB">
              <w:t xml:space="preserve">The survey will track progress on key actions, identify system needs and pain points, and assess the maturity of L&amp;D practices. It will also provide valuable data to support agency benchmarking and inform ongoing planning and investment. </w:t>
            </w:r>
          </w:p>
          <w:p w14:paraId="09367C00" w14:textId="77777777" w:rsidR="00F04CE3" w:rsidRPr="00184FEB" w:rsidRDefault="00F04CE3" w:rsidP="006957F7">
            <w:pPr>
              <w:pStyle w:val="tabletextnormal"/>
              <w:spacing w:before="120"/>
              <w:rPr>
                <w:b/>
                <w:iCs/>
                <w:sz w:val="21"/>
                <w:szCs w:val="21"/>
              </w:rPr>
            </w:pPr>
            <w:r w:rsidRPr="00184FEB">
              <w:rPr>
                <w:b/>
                <w:iCs/>
                <w:sz w:val="21"/>
                <w:szCs w:val="21"/>
              </w:rPr>
              <w:t xml:space="preserve">What is the expected change we will see? </w:t>
            </w:r>
          </w:p>
          <w:p w14:paraId="3EC6B07F" w14:textId="77777777" w:rsidR="00F04CE3" w:rsidRPr="00184FEB" w:rsidRDefault="00F04CE3" w:rsidP="006957F7">
            <w:pPr>
              <w:pStyle w:val="TablebulletsforQRG"/>
            </w:pPr>
            <w:r w:rsidRPr="00184FEB">
              <w:t>Agencies demonstrate thorough and thoughtful participation, using the survey to communicate their L&amp;D efforts, needs and priorities</w:t>
            </w:r>
            <w:r w:rsidR="00E92C24" w:rsidRPr="00184FEB">
              <w:t>.</w:t>
            </w:r>
          </w:p>
          <w:p w14:paraId="6EF5366F" w14:textId="77777777" w:rsidR="00F04CE3" w:rsidRPr="00184FEB" w:rsidRDefault="00F04CE3" w:rsidP="000C3E74">
            <w:pPr>
              <w:pStyle w:val="TablebulletsforQRG"/>
            </w:pPr>
            <w:r w:rsidRPr="00184FEB">
              <w:t>Agencies use the survey results to benchmark and set future priorities</w:t>
            </w:r>
            <w:r w:rsidR="00E92C24" w:rsidRPr="00184FEB">
              <w:t>.</w:t>
            </w:r>
          </w:p>
        </w:tc>
        <w:tc>
          <w:tcPr>
            <w:tcW w:w="1417" w:type="dxa"/>
            <w:tcBorders>
              <w:bottom w:val="single" w:sz="4" w:space="0" w:color="auto"/>
            </w:tcBorders>
            <w:shd w:val="clear" w:color="auto" w:fill="E9EAEF"/>
          </w:tcPr>
          <w:p w14:paraId="7EA0B5F7" w14:textId="77777777" w:rsidR="00F04CE3" w:rsidRPr="00184FEB" w:rsidRDefault="00F04CE3" w:rsidP="00ED7C8F">
            <w:pPr>
              <w:pStyle w:val="tabletextnormal"/>
            </w:pPr>
            <w:r w:rsidRPr="00184FEB">
              <w:t>APS Academy</w:t>
            </w:r>
          </w:p>
        </w:tc>
        <w:tc>
          <w:tcPr>
            <w:tcW w:w="1561" w:type="dxa"/>
            <w:tcBorders>
              <w:bottom w:val="single" w:sz="4" w:space="0" w:color="auto"/>
            </w:tcBorders>
            <w:shd w:val="clear" w:color="auto" w:fill="E9EAEF"/>
          </w:tcPr>
          <w:p w14:paraId="1439C325" w14:textId="77777777" w:rsidR="00F04CE3" w:rsidRPr="00184FEB" w:rsidRDefault="00D42543" w:rsidP="00F36E02">
            <w:pPr>
              <w:pStyle w:val="tabletextnormal"/>
            </w:pPr>
            <w:r w:rsidRPr="00184FEB">
              <w:t>APS a</w:t>
            </w:r>
            <w:r w:rsidR="00F04CE3" w:rsidRPr="00184FEB">
              <w:t>gencies</w:t>
            </w:r>
          </w:p>
        </w:tc>
      </w:tr>
      <w:tr w:rsidR="0088719D" w:rsidRPr="00184FEB" w14:paraId="19B56BB3" w14:textId="77777777" w:rsidTr="00184FEB">
        <w:trPr>
          <w:trHeight w:val="4496"/>
        </w:trPr>
        <w:tc>
          <w:tcPr>
            <w:tcW w:w="6747" w:type="dxa"/>
            <w:tcBorders>
              <w:bottom w:val="single" w:sz="4" w:space="0" w:color="auto"/>
            </w:tcBorders>
            <w:shd w:val="clear" w:color="auto" w:fill="DBDBE2"/>
          </w:tcPr>
          <w:p w14:paraId="77672798" w14:textId="77777777" w:rsidR="00A63BAD" w:rsidRPr="00184FEB" w:rsidRDefault="00A63BAD" w:rsidP="00A63BAD">
            <w:pPr>
              <w:pStyle w:val="tabletextnormal"/>
              <w:rPr>
                <w:b/>
                <w:bCs/>
                <w:sz w:val="21"/>
                <w:szCs w:val="21"/>
              </w:rPr>
            </w:pPr>
            <w:r w:rsidRPr="00184FEB">
              <w:rPr>
                <w:b/>
                <w:bCs/>
                <w:sz w:val="21"/>
                <w:szCs w:val="21"/>
              </w:rPr>
              <w:t>2.5 Develop and publish APS L&amp;D procurement principles &amp; resources</w:t>
            </w:r>
          </w:p>
          <w:p w14:paraId="32F6414F" w14:textId="5ED24662" w:rsidR="00A63BAD" w:rsidRPr="00184FEB" w:rsidRDefault="00A63BAD" w:rsidP="00A63BAD">
            <w:pPr>
              <w:pStyle w:val="tabletextnormal"/>
            </w:pPr>
            <w:r w:rsidRPr="00184FEB">
              <w:t xml:space="preserve">We will develop and publish a set of APS-wide L&amp;D procurement principles and supporting resources to guide agencies in commissioning learning solutions. </w:t>
            </w:r>
          </w:p>
          <w:p w14:paraId="1561FC66" w14:textId="77777777" w:rsidR="00A63BAD" w:rsidRPr="00184FEB" w:rsidRDefault="00A63BAD" w:rsidP="00A63BAD">
            <w:pPr>
              <w:pStyle w:val="tabletextnormal"/>
            </w:pPr>
            <w:r w:rsidRPr="00184FEB">
              <w:t>The principles will promote a One-APS posture, encouraging the design of learning that meets collective needs of the APS, ensures cross-agency use and allows for customisation if needed to address specific agency contexts. The resources will include standard clauses and guidance on Intellectual Property (including sharing and reuse), learning technology specifications, Learning Quality Standards, and essential artefact production (such as facilitator guides, workplace tools and evaluation strategies).</w:t>
            </w:r>
          </w:p>
          <w:p w14:paraId="292C235F" w14:textId="77777777" w:rsidR="00A63BAD" w:rsidRPr="00184FEB" w:rsidRDefault="00A63BAD" w:rsidP="00A63BAD">
            <w:pPr>
              <w:pStyle w:val="tabletextnormal"/>
              <w:spacing w:before="120"/>
              <w:rPr>
                <w:b/>
                <w:sz w:val="21"/>
                <w:szCs w:val="21"/>
              </w:rPr>
            </w:pPr>
            <w:r w:rsidRPr="00184FEB">
              <w:rPr>
                <w:b/>
                <w:sz w:val="21"/>
                <w:szCs w:val="21"/>
              </w:rPr>
              <w:t xml:space="preserve">What is the expected change we will see? </w:t>
            </w:r>
          </w:p>
          <w:p w14:paraId="7A962936" w14:textId="77777777" w:rsidR="00A63BAD" w:rsidRPr="00184FEB" w:rsidRDefault="00A63BAD" w:rsidP="000C3E74">
            <w:pPr>
              <w:pStyle w:val="TablebulletsforQRG"/>
              <w:spacing w:after="120"/>
              <w:rPr>
                <w:b/>
                <w:bCs/>
              </w:rPr>
            </w:pPr>
            <w:r w:rsidRPr="00184FEB">
              <w:t>Agencies engage in procurement activities that seek to develop L&amp;D solutions and artefacts for the APS rather than their individual agency</w:t>
            </w:r>
            <w:r w:rsidR="00E92C24" w:rsidRPr="00184FEB">
              <w:t>.</w:t>
            </w:r>
          </w:p>
        </w:tc>
        <w:tc>
          <w:tcPr>
            <w:tcW w:w="1417" w:type="dxa"/>
            <w:tcBorders>
              <w:bottom w:val="single" w:sz="4" w:space="0" w:color="auto"/>
            </w:tcBorders>
            <w:shd w:val="clear" w:color="auto" w:fill="DBDBE2"/>
          </w:tcPr>
          <w:p w14:paraId="5A3874F0" w14:textId="77777777" w:rsidR="00A63BAD" w:rsidRPr="00184FEB" w:rsidRDefault="00A63BAD" w:rsidP="00A63BAD">
            <w:pPr>
              <w:pStyle w:val="tabletextnormal"/>
            </w:pPr>
            <w:r w:rsidRPr="00184FEB">
              <w:t>APS Academy</w:t>
            </w:r>
          </w:p>
        </w:tc>
        <w:tc>
          <w:tcPr>
            <w:tcW w:w="1561" w:type="dxa"/>
            <w:tcBorders>
              <w:bottom w:val="single" w:sz="4" w:space="0" w:color="auto"/>
            </w:tcBorders>
            <w:shd w:val="clear" w:color="auto" w:fill="DBDBE2"/>
          </w:tcPr>
          <w:p w14:paraId="53F3CC37" w14:textId="7A74B234" w:rsidR="00A63BAD" w:rsidRPr="00184FEB" w:rsidRDefault="0019292E" w:rsidP="00A63BAD">
            <w:pPr>
              <w:pStyle w:val="tabletextnormal"/>
            </w:pPr>
            <w:r w:rsidRPr="00184FEB">
              <w:t>Department</w:t>
            </w:r>
            <w:r w:rsidR="4F5E77BD" w:rsidRPr="00184FEB">
              <w:t xml:space="preserve"> of Defence, </w:t>
            </w:r>
          </w:p>
          <w:p w14:paraId="14008EB0" w14:textId="7F5604C0" w:rsidR="00A63BAD" w:rsidRPr="00184FEB" w:rsidRDefault="00D42543" w:rsidP="00A63BAD">
            <w:pPr>
              <w:pStyle w:val="tabletextnormal"/>
            </w:pPr>
            <w:r w:rsidRPr="00184FEB">
              <w:t>APS a</w:t>
            </w:r>
            <w:r w:rsidR="00A63BAD" w:rsidRPr="00184FEB">
              <w:t>gencies</w:t>
            </w:r>
          </w:p>
        </w:tc>
      </w:tr>
      <w:tr w:rsidR="0088719D" w:rsidRPr="00184FEB" w14:paraId="15755607" w14:textId="77777777" w:rsidTr="00184FEB">
        <w:trPr>
          <w:trHeight w:val="3772"/>
        </w:trPr>
        <w:tc>
          <w:tcPr>
            <w:tcW w:w="6747" w:type="dxa"/>
            <w:tcBorders>
              <w:bottom w:val="single" w:sz="4" w:space="0" w:color="auto"/>
            </w:tcBorders>
            <w:shd w:val="clear" w:color="auto" w:fill="E9EAEF"/>
          </w:tcPr>
          <w:p w14:paraId="11E8129E" w14:textId="77777777" w:rsidR="00A63BAD" w:rsidRPr="00184FEB" w:rsidRDefault="00A63BAD" w:rsidP="00A63BAD">
            <w:pPr>
              <w:pStyle w:val="tabletextnormal"/>
              <w:rPr>
                <w:b/>
                <w:bCs/>
                <w:sz w:val="21"/>
                <w:szCs w:val="21"/>
              </w:rPr>
            </w:pPr>
            <w:r w:rsidRPr="00184FEB">
              <w:rPr>
                <w:b/>
                <w:bCs/>
                <w:sz w:val="21"/>
                <w:szCs w:val="21"/>
              </w:rPr>
              <w:t>2.</w:t>
            </w:r>
            <w:r w:rsidR="00AC0CE7" w:rsidRPr="00184FEB">
              <w:rPr>
                <w:b/>
                <w:bCs/>
                <w:sz w:val="21"/>
                <w:szCs w:val="21"/>
              </w:rPr>
              <w:t>6</w:t>
            </w:r>
            <w:r w:rsidRPr="00184FEB">
              <w:rPr>
                <w:b/>
                <w:bCs/>
                <w:sz w:val="21"/>
                <w:szCs w:val="21"/>
              </w:rPr>
              <w:t xml:space="preserve"> Establish L&amp;D IP Register</w:t>
            </w:r>
          </w:p>
          <w:p w14:paraId="393F09DA" w14:textId="280B914F" w:rsidR="00A63BAD" w:rsidRPr="00184FEB" w:rsidRDefault="00A63BAD" w:rsidP="00A63BAD">
            <w:pPr>
              <w:pStyle w:val="tabletextnormal"/>
            </w:pPr>
            <w:r w:rsidRPr="00184FEB">
              <w:t xml:space="preserve">We will establish a register to record Intellectual Property related to learning assets owned by the Commonwealth. </w:t>
            </w:r>
          </w:p>
          <w:p w14:paraId="10F7489E" w14:textId="77777777" w:rsidR="00A63BAD" w:rsidRPr="00184FEB" w:rsidRDefault="00A63BAD" w:rsidP="00A63BAD">
            <w:pPr>
              <w:pStyle w:val="tabletextnormal"/>
            </w:pPr>
            <w:r w:rsidRPr="00184FEB">
              <w:t xml:space="preserve">The register will help agencies understand how learning assets can be accessed, used, shared or protected. It will support better use of existing resources, reduce duplication and ensure the appropriate management of APS owned learning materials. </w:t>
            </w:r>
          </w:p>
          <w:p w14:paraId="22565624" w14:textId="77777777" w:rsidR="00A63BAD" w:rsidRPr="00184FEB" w:rsidRDefault="00A63BAD" w:rsidP="00A63BAD">
            <w:pPr>
              <w:pStyle w:val="tabletextnormal"/>
              <w:spacing w:before="120"/>
              <w:rPr>
                <w:b/>
                <w:sz w:val="21"/>
                <w:szCs w:val="21"/>
              </w:rPr>
            </w:pPr>
            <w:r w:rsidRPr="00184FEB">
              <w:rPr>
                <w:b/>
                <w:sz w:val="21"/>
                <w:szCs w:val="21"/>
              </w:rPr>
              <w:t xml:space="preserve">What is the expected change we will see? </w:t>
            </w:r>
          </w:p>
          <w:p w14:paraId="6951897C" w14:textId="77777777" w:rsidR="00A63BAD" w:rsidRPr="00184FEB" w:rsidRDefault="00A63BAD" w:rsidP="0000644F">
            <w:pPr>
              <w:pStyle w:val="TablebulletsforQRG"/>
              <w:rPr>
                <w:b/>
                <w:bCs/>
              </w:rPr>
            </w:pPr>
            <w:r w:rsidRPr="00184FEB">
              <w:t>Agencies access the register to service their needs prior to procuring new learning assets.</w:t>
            </w:r>
          </w:p>
        </w:tc>
        <w:tc>
          <w:tcPr>
            <w:tcW w:w="1417" w:type="dxa"/>
            <w:tcBorders>
              <w:bottom w:val="single" w:sz="4" w:space="0" w:color="auto"/>
            </w:tcBorders>
            <w:shd w:val="clear" w:color="auto" w:fill="E9EAEF"/>
          </w:tcPr>
          <w:p w14:paraId="2B908929" w14:textId="77777777" w:rsidR="00A63BAD" w:rsidRPr="00184FEB" w:rsidRDefault="00A63BAD" w:rsidP="00A63BAD">
            <w:pPr>
              <w:pStyle w:val="tabletextnormal"/>
            </w:pPr>
            <w:r w:rsidRPr="00184FEB">
              <w:t>APS Academy</w:t>
            </w:r>
          </w:p>
        </w:tc>
        <w:tc>
          <w:tcPr>
            <w:tcW w:w="1561" w:type="dxa"/>
            <w:tcBorders>
              <w:bottom w:val="single" w:sz="4" w:space="0" w:color="auto"/>
            </w:tcBorders>
            <w:shd w:val="clear" w:color="auto" w:fill="E9EAEF"/>
          </w:tcPr>
          <w:p w14:paraId="64B34B1A" w14:textId="77777777" w:rsidR="00A63BAD" w:rsidRPr="00184FEB" w:rsidRDefault="00D42543" w:rsidP="00A63BAD">
            <w:pPr>
              <w:pStyle w:val="tabletextnormal"/>
            </w:pPr>
            <w:r w:rsidRPr="00184FEB">
              <w:t>APS a</w:t>
            </w:r>
            <w:r w:rsidR="00A63BAD" w:rsidRPr="00184FEB">
              <w:t>gencies</w:t>
            </w:r>
          </w:p>
        </w:tc>
      </w:tr>
      <w:tr w:rsidR="0088719D" w:rsidRPr="00184FEB" w14:paraId="3C61614F" w14:textId="77777777" w:rsidTr="00184FEB">
        <w:trPr>
          <w:trHeight w:val="2469"/>
        </w:trPr>
        <w:tc>
          <w:tcPr>
            <w:tcW w:w="6747" w:type="dxa"/>
            <w:shd w:val="clear" w:color="auto" w:fill="DBDBE2"/>
          </w:tcPr>
          <w:p w14:paraId="480A469C" w14:textId="77777777" w:rsidR="00A63BAD" w:rsidRPr="00184FEB" w:rsidRDefault="00A63BAD" w:rsidP="00A63BAD">
            <w:pPr>
              <w:pStyle w:val="tabletextnormal"/>
              <w:rPr>
                <w:b/>
                <w:bCs/>
                <w:sz w:val="21"/>
                <w:szCs w:val="21"/>
              </w:rPr>
            </w:pPr>
            <w:r w:rsidRPr="00184FEB">
              <w:rPr>
                <w:b/>
                <w:bCs/>
                <w:sz w:val="21"/>
                <w:szCs w:val="21"/>
              </w:rPr>
              <w:t>2.</w:t>
            </w:r>
            <w:r w:rsidR="00AC0CE7" w:rsidRPr="00184FEB">
              <w:rPr>
                <w:b/>
                <w:bCs/>
                <w:sz w:val="21"/>
                <w:szCs w:val="21"/>
              </w:rPr>
              <w:t>7</w:t>
            </w:r>
            <w:r w:rsidRPr="00184FEB">
              <w:rPr>
                <w:b/>
                <w:bCs/>
                <w:sz w:val="21"/>
                <w:szCs w:val="21"/>
              </w:rPr>
              <w:t xml:space="preserve"> Establish an Agency Partnership EOI Procurement Register</w:t>
            </w:r>
          </w:p>
          <w:p w14:paraId="263550A4" w14:textId="03DBF325" w:rsidR="00A63BAD" w:rsidRPr="00184FEB" w:rsidRDefault="00A63BAD" w:rsidP="00A63BAD">
            <w:pPr>
              <w:pStyle w:val="tabletextnormal"/>
            </w:pPr>
            <w:r w:rsidRPr="00184FEB">
              <w:t>We will establish a shared register where agencies can express their interest in partnering with others to develop learning initiatives or undertake collective purchasing.</w:t>
            </w:r>
          </w:p>
          <w:p w14:paraId="2515D5D8" w14:textId="77777777" w:rsidR="00A63BAD" w:rsidRPr="00184FEB" w:rsidRDefault="00A63BAD" w:rsidP="00A63BAD">
            <w:pPr>
              <w:pStyle w:val="tabletextnormal"/>
              <w:spacing w:before="120"/>
              <w:rPr>
                <w:b/>
                <w:sz w:val="21"/>
                <w:szCs w:val="21"/>
              </w:rPr>
            </w:pPr>
            <w:r w:rsidRPr="00184FEB">
              <w:rPr>
                <w:b/>
                <w:sz w:val="21"/>
                <w:szCs w:val="21"/>
              </w:rPr>
              <w:t xml:space="preserve">What is the expected change we will see? </w:t>
            </w:r>
          </w:p>
          <w:p w14:paraId="078315C0" w14:textId="302298EC" w:rsidR="00A63BAD" w:rsidRPr="00184FEB" w:rsidRDefault="00A63BAD" w:rsidP="0000644F">
            <w:pPr>
              <w:pStyle w:val="TablebulletsforQRG"/>
              <w:rPr>
                <w:b/>
                <w:bCs/>
              </w:rPr>
            </w:pPr>
            <w:r w:rsidRPr="00184FEB">
              <w:t>Agencies publish an E</w:t>
            </w:r>
            <w:r w:rsidR="2DD2CA85" w:rsidRPr="00184FEB">
              <w:t>xpression of Interest (E</w:t>
            </w:r>
            <w:r w:rsidR="5414EF33" w:rsidRPr="00184FEB">
              <w:t>OI</w:t>
            </w:r>
            <w:r w:rsidR="082D6B36" w:rsidRPr="00184FEB">
              <w:t>)</w:t>
            </w:r>
            <w:r w:rsidRPr="00184FEB">
              <w:t xml:space="preserve"> prior to procuring new learning assets</w:t>
            </w:r>
            <w:r w:rsidR="0000644F" w:rsidRPr="00184FEB">
              <w:t>.</w:t>
            </w:r>
          </w:p>
        </w:tc>
        <w:tc>
          <w:tcPr>
            <w:tcW w:w="1417" w:type="dxa"/>
            <w:shd w:val="clear" w:color="auto" w:fill="DBDBE2"/>
          </w:tcPr>
          <w:p w14:paraId="45350CF7" w14:textId="77777777" w:rsidR="00A63BAD" w:rsidRPr="00184FEB" w:rsidRDefault="00A63BAD" w:rsidP="00A63BAD">
            <w:pPr>
              <w:pStyle w:val="tabletextnormal"/>
            </w:pPr>
            <w:r w:rsidRPr="00184FEB">
              <w:t>APS Academy</w:t>
            </w:r>
          </w:p>
        </w:tc>
        <w:tc>
          <w:tcPr>
            <w:tcW w:w="1561" w:type="dxa"/>
            <w:shd w:val="clear" w:color="auto" w:fill="DBDBE2"/>
          </w:tcPr>
          <w:p w14:paraId="7E7BBA70" w14:textId="77777777" w:rsidR="00A63BAD" w:rsidRPr="00184FEB" w:rsidRDefault="00D42543" w:rsidP="00A63BAD">
            <w:pPr>
              <w:pStyle w:val="tabletextnormal"/>
            </w:pPr>
            <w:r w:rsidRPr="00184FEB">
              <w:t>APS a</w:t>
            </w:r>
            <w:r w:rsidR="00A63BAD" w:rsidRPr="00184FEB">
              <w:t>gencies</w:t>
            </w:r>
          </w:p>
        </w:tc>
      </w:tr>
    </w:tbl>
    <w:p w14:paraId="5DAB6C7B" w14:textId="77777777" w:rsidR="003F0099" w:rsidRPr="00184FEB" w:rsidRDefault="003F0099">
      <w:pPr>
        <w:spacing w:line="360" w:lineRule="auto"/>
      </w:pPr>
      <w:r w:rsidRPr="00184FEB">
        <w:br w:type="page"/>
      </w:r>
    </w:p>
    <w:p w14:paraId="0D90C18A" w14:textId="77777777" w:rsidR="003F0099" w:rsidRPr="00184FEB" w:rsidRDefault="003F0099" w:rsidP="00335A9F">
      <w:pPr>
        <w:pStyle w:val="Heading1"/>
        <w:spacing w:after="360"/>
        <w:ind w:left="-284"/>
      </w:pPr>
      <w:r w:rsidRPr="00184FEB">
        <w:t xml:space="preserve">Pillar 3 – </w:t>
      </w:r>
      <w:r w:rsidR="00F01E5A" w:rsidRPr="00184FEB">
        <w:t>Capabilities</w:t>
      </w:r>
    </w:p>
    <w:tbl>
      <w:tblPr>
        <w:tblStyle w:val="TableGrid"/>
        <w:tblW w:w="9637" w:type="dxa"/>
        <w:tblInd w:w="-284" w:type="dxa"/>
        <w:tblBorders>
          <w:left w:val="none" w:sz="0" w:space="0" w:color="auto"/>
          <w:right w:val="none" w:sz="0" w:space="0" w:color="auto"/>
        </w:tblBorders>
        <w:tblCellMar>
          <w:top w:w="57" w:type="dxa"/>
          <w:bottom w:w="28" w:type="dxa"/>
        </w:tblCellMar>
        <w:tblLook w:val="04A0" w:firstRow="1" w:lastRow="0" w:firstColumn="1" w:lastColumn="0" w:noHBand="0" w:noVBand="1"/>
        <w:tblCaption w:val="Pillar 3 – Capabilities: Horizon Adapt (2025–2026)"/>
      </w:tblPr>
      <w:tblGrid>
        <w:gridCol w:w="6803"/>
        <w:gridCol w:w="1417"/>
        <w:gridCol w:w="1417"/>
      </w:tblGrid>
      <w:tr w:rsidR="009C16C0" w:rsidRPr="00184FEB" w14:paraId="459699FD" w14:textId="77777777" w:rsidTr="00BB24C7">
        <w:trPr>
          <w:trHeight w:val="572"/>
          <w:tblHeader/>
        </w:trPr>
        <w:tc>
          <w:tcPr>
            <w:tcW w:w="6803" w:type="dxa"/>
            <w:tcBorders>
              <w:bottom w:val="single" w:sz="4" w:space="0" w:color="auto"/>
            </w:tcBorders>
            <w:shd w:val="clear" w:color="auto" w:fill="BDC15A"/>
            <w:vAlign w:val="center"/>
          </w:tcPr>
          <w:p w14:paraId="560DA689" w14:textId="77777777" w:rsidR="007D1D8B" w:rsidRPr="00184FEB" w:rsidRDefault="007D1D8B" w:rsidP="009C16C0">
            <w:pPr>
              <w:pStyle w:val="tableheading"/>
              <w:rPr>
                <w:sz w:val="24"/>
                <w:szCs w:val="24"/>
              </w:rPr>
            </w:pPr>
            <w:r w:rsidRPr="00184FEB">
              <w:rPr>
                <w:sz w:val="24"/>
                <w:szCs w:val="24"/>
              </w:rPr>
              <w:t>Action</w:t>
            </w:r>
          </w:p>
        </w:tc>
        <w:tc>
          <w:tcPr>
            <w:tcW w:w="1417" w:type="dxa"/>
            <w:tcBorders>
              <w:bottom w:val="single" w:sz="4" w:space="0" w:color="auto"/>
            </w:tcBorders>
            <w:shd w:val="clear" w:color="auto" w:fill="BDC15A"/>
            <w:vAlign w:val="center"/>
          </w:tcPr>
          <w:p w14:paraId="4373C344" w14:textId="77777777" w:rsidR="007D1D8B" w:rsidRPr="00184FEB" w:rsidRDefault="007D1D8B" w:rsidP="009C16C0">
            <w:pPr>
              <w:pStyle w:val="tableheading"/>
              <w:rPr>
                <w:sz w:val="24"/>
                <w:szCs w:val="24"/>
              </w:rPr>
            </w:pPr>
            <w:r w:rsidRPr="00184FEB">
              <w:rPr>
                <w:sz w:val="24"/>
                <w:szCs w:val="24"/>
              </w:rPr>
              <w:t>Lead</w:t>
            </w:r>
          </w:p>
        </w:tc>
        <w:tc>
          <w:tcPr>
            <w:tcW w:w="1417" w:type="dxa"/>
            <w:tcBorders>
              <w:bottom w:val="single" w:sz="4" w:space="0" w:color="auto"/>
            </w:tcBorders>
            <w:shd w:val="clear" w:color="auto" w:fill="BDC15A"/>
            <w:vAlign w:val="center"/>
          </w:tcPr>
          <w:p w14:paraId="4925D3EF" w14:textId="77777777" w:rsidR="007D1D8B" w:rsidRPr="00184FEB" w:rsidRDefault="007D1D8B" w:rsidP="009C16C0">
            <w:pPr>
              <w:pStyle w:val="tableheading"/>
              <w:rPr>
                <w:sz w:val="24"/>
                <w:szCs w:val="24"/>
              </w:rPr>
            </w:pPr>
            <w:r w:rsidRPr="00184FEB">
              <w:rPr>
                <w:sz w:val="24"/>
                <w:szCs w:val="24"/>
              </w:rPr>
              <w:t>Partner</w:t>
            </w:r>
          </w:p>
        </w:tc>
      </w:tr>
      <w:tr w:rsidR="009C16C0" w:rsidRPr="00184FEB" w14:paraId="4C63134F" w14:textId="77777777" w:rsidTr="00BB24C7">
        <w:trPr>
          <w:trHeight w:val="4053"/>
        </w:trPr>
        <w:tc>
          <w:tcPr>
            <w:tcW w:w="6803" w:type="dxa"/>
            <w:tcBorders>
              <w:bottom w:val="single" w:sz="4" w:space="0" w:color="auto"/>
            </w:tcBorders>
            <w:shd w:val="clear" w:color="auto" w:fill="EFEFDB"/>
          </w:tcPr>
          <w:p w14:paraId="2AF647F6" w14:textId="77777777" w:rsidR="00610679" w:rsidRPr="00184FEB" w:rsidRDefault="00610679" w:rsidP="00ED7C8F">
            <w:pPr>
              <w:pStyle w:val="tabletextnormal"/>
              <w:rPr>
                <w:b/>
                <w:bCs/>
                <w:sz w:val="21"/>
                <w:szCs w:val="21"/>
              </w:rPr>
            </w:pPr>
            <w:r w:rsidRPr="00184FEB">
              <w:rPr>
                <w:b/>
                <w:bCs/>
                <w:sz w:val="21"/>
                <w:szCs w:val="21"/>
              </w:rPr>
              <w:t>3.1 Signal the priority focus areas of leadership and management capability on an annual basis</w:t>
            </w:r>
          </w:p>
          <w:p w14:paraId="3F04D951" w14:textId="247A5357" w:rsidR="00610679" w:rsidRPr="00184FEB" w:rsidRDefault="00610679" w:rsidP="00FB66C9">
            <w:pPr>
              <w:pStyle w:val="tabletextnormal"/>
            </w:pPr>
            <w:r w:rsidRPr="00184FEB">
              <w:t xml:space="preserve">We will establish an annual, evidence-based process to identify priority focus areas for leadership and management capability across the APS. </w:t>
            </w:r>
          </w:p>
          <w:p w14:paraId="7B0291B0" w14:textId="77777777" w:rsidR="00610679" w:rsidRPr="00184FEB" w:rsidRDefault="00610679" w:rsidP="00FB66C9">
            <w:pPr>
              <w:pStyle w:val="tabletextnormal"/>
            </w:pPr>
            <w:r w:rsidRPr="00184FEB">
              <w:t xml:space="preserve">By highlighting emerging issues and critical capability gaps, this approach will support consistent and effective development of people </w:t>
            </w:r>
            <w:r w:rsidR="00D42543" w:rsidRPr="00184FEB">
              <w:t xml:space="preserve">who manage others, </w:t>
            </w:r>
            <w:r w:rsidRPr="00184FEB">
              <w:t xml:space="preserve">ensuring they build a common foundation of skills, knowledge and system understanding. </w:t>
            </w:r>
          </w:p>
          <w:p w14:paraId="22668AAA" w14:textId="77777777" w:rsidR="00610679" w:rsidRPr="00184FEB" w:rsidRDefault="00610679" w:rsidP="00FB66C9">
            <w:pPr>
              <w:pStyle w:val="tabletextnormal"/>
              <w:rPr>
                <w:i/>
                <w:iCs/>
              </w:rPr>
            </w:pPr>
            <w:r w:rsidRPr="00184FEB">
              <w:t>It will also promote alignment in management practices and increase opportunities to reuse and scale effective development initiatives</w:t>
            </w:r>
            <w:r w:rsidRPr="00184FEB">
              <w:rPr>
                <w:i/>
                <w:iCs/>
              </w:rPr>
              <w:t>.</w:t>
            </w:r>
          </w:p>
          <w:p w14:paraId="768C4FD4" w14:textId="77777777" w:rsidR="00610679" w:rsidRPr="00184FEB" w:rsidRDefault="00610679" w:rsidP="007D1D8B">
            <w:pPr>
              <w:pStyle w:val="tabletextnormal"/>
              <w:spacing w:before="120"/>
              <w:rPr>
                <w:b/>
                <w:iCs/>
                <w:sz w:val="21"/>
                <w:szCs w:val="21"/>
              </w:rPr>
            </w:pPr>
            <w:r w:rsidRPr="00184FEB">
              <w:rPr>
                <w:b/>
                <w:iCs/>
                <w:sz w:val="21"/>
                <w:szCs w:val="21"/>
              </w:rPr>
              <w:t xml:space="preserve">What is the expected change we will see? </w:t>
            </w:r>
          </w:p>
          <w:p w14:paraId="597FDFAB" w14:textId="77777777" w:rsidR="00610679" w:rsidRPr="00184FEB" w:rsidRDefault="00610679" w:rsidP="000C3E74">
            <w:pPr>
              <w:pStyle w:val="TablebulletsforQRG"/>
              <w:rPr>
                <w:spacing w:val="-2"/>
              </w:rPr>
            </w:pPr>
            <w:r w:rsidRPr="00184FEB">
              <w:t>Agencies use priority areas to inform design and development of learning programs</w:t>
            </w:r>
            <w:r w:rsidR="00E92C24" w:rsidRPr="00184FEB">
              <w:t>.</w:t>
            </w:r>
          </w:p>
        </w:tc>
        <w:tc>
          <w:tcPr>
            <w:tcW w:w="1417" w:type="dxa"/>
            <w:tcBorders>
              <w:bottom w:val="single" w:sz="4" w:space="0" w:color="auto"/>
            </w:tcBorders>
            <w:shd w:val="clear" w:color="auto" w:fill="EFEFDB"/>
          </w:tcPr>
          <w:p w14:paraId="644E0F98" w14:textId="77777777" w:rsidR="00610679" w:rsidRPr="00184FEB" w:rsidRDefault="00610679" w:rsidP="00ED7C8F">
            <w:pPr>
              <w:pStyle w:val="tabletextnormal"/>
            </w:pPr>
            <w:r w:rsidRPr="00184FEB">
              <w:t>APS Academy</w:t>
            </w:r>
          </w:p>
        </w:tc>
        <w:tc>
          <w:tcPr>
            <w:tcW w:w="1417" w:type="dxa"/>
            <w:tcBorders>
              <w:bottom w:val="single" w:sz="4" w:space="0" w:color="auto"/>
            </w:tcBorders>
            <w:shd w:val="clear" w:color="auto" w:fill="EFEFDB"/>
          </w:tcPr>
          <w:p w14:paraId="4A9B8DF4" w14:textId="4A0022D8" w:rsidR="00610679" w:rsidRPr="00184FEB" w:rsidRDefault="00512461" w:rsidP="00FB66C9">
            <w:pPr>
              <w:pStyle w:val="tabletextnormal"/>
            </w:pPr>
            <w:r w:rsidRPr="00184FEB">
              <w:t>Department</w:t>
            </w:r>
            <w:r w:rsidR="00AD1DAD" w:rsidRPr="00184FEB">
              <w:t xml:space="preserve"> of</w:t>
            </w:r>
            <w:r w:rsidR="40FD566A" w:rsidRPr="00184FEB">
              <w:t xml:space="preserve"> </w:t>
            </w:r>
            <w:r w:rsidR="00C7634F" w:rsidRPr="00184FEB">
              <w:t>Home Affairs,</w:t>
            </w:r>
          </w:p>
          <w:p w14:paraId="5779BBB0" w14:textId="77777777" w:rsidR="001A60B3" w:rsidRPr="00184FEB" w:rsidRDefault="001A60B3" w:rsidP="4041B187">
            <w:pPr>
              <w:pStyle w:val="tabletextnormal"/>
              <w:spacing w:before="120"/>
            </w:pPr>
            <w:r w:rsidRPr="00184FEB">
              <w:t>Australian Taxation Office,</w:t>
            </w:r>
          </w:p>
          <w:p w14:paraId="1662B6B0" w14:textId="6ECC32EF" w:rsidR="0535BF15" w:rsidRPr="00184FEB" w:rsidRDefault="0535BF15" w:rsidP="4041B187">
            <w:pPr>
              <w:pStyle w:val="tabletextnormal"/>
              <w:spacing w:before="120"/>
            </w:pPr>
            <w:r w:rsidRPr="00184FEB">
              <w:t>National Blood Author</w:t>
            </w:r>
            <w:r w:rsidR="001A60B3" w:rsidRPr="00184FEB">
              <w:t>ity</w:t>
            </w:r>
          </w:p>
          <w:p w14:paraId="60B41855" w14:textId="763913C8" w:rsidR="00610679" w:rsidRPr="00184FEB" w:rsidRDefault="00610679" w:rsidP="001A79A1">
            <w:pPr>
              <w:pStyle w:val="tabletextnormal"/>
              <w:spacing w:before="120"/>
            </w:pPr>
          </w:p>
        </w:tc>
      </w:tr>
      <w:tr w:rsidR="009C16C0" w:rsidRPr="00184FEB" w14:paraId="6B50A816" w14:textId="77777777" w:rsidTr="00BB24C7">
        <w:trPr>
          <w:trHeight w:val="5075"/>
        </w:trPr>
        <w:tc>
          <w:tcPr>
            <w:tcW w:w="6803" w:type="dxa"/>
            <w:tcBorders>
              <w:bottom w:val="single" w:sz="4" w:space="0" w:color="auto"/>
            </w:tcBorders>
            <w:shd w:val="clear" w:color="auto" w:fill="F8F8F0"/>
          </w:tcPr>
          <w:p w14:paraId="60A7A30B" w14:textId="77777777" w:rsidR="00610679" w:rsidRPr="00184FEB" w:rsidRDefault="00610679" w:rsidP="00ED7C8F">
            <w:pPr>
              <w:pStyle w:val="tabletextnormal"/>
              <w:rPr>
                <w:b/>
                <w:bCs/>
                <w:sz w:val="21"/>
                <w:szCs w:val="21"/>
              </w:rPr>
            </w:pPr>
            <w:r w:rsidRPr="00184FEB">
              <w:rPr>
                <w:b/>
                <w:bCs/>
                <w:sz w:val="21"/>
                <w:szCs w:val="21"/>
              </w:rPr>
              <w:t xml:space="preserve">3.2 </w:t>
            </w:r>
            <w:r w:rsidRPr="00184FEB">
              <w:rPr>
                <w:rFonts w:cs="Times New Roman (Body CS)"/>
                <w:b/>
                <w:bCs/>
                <w:spacing w:val="-2"/>
                <w:sz w:val="21"/>
                <w:szCs w:val="21"/>
              </w:rPr>
              <w:t>Establish a Leadership Community Platform for Executive Level Officers</w:t>
            </w:r>
          </w:p>
          <w:p w14:paraId="7467989F" w14:textId="1210AAEF" w:rsidR="00610679" w:rsidRPr="00184FEB" w:rsidRDefault="00610679" w:rsidP="004C1429">
            <w:pPr>
              <w:pStyle w:val="tabletextnormal"/>
            </w:pPr>
            <w:r w:rsidRPr="00184FEB">
              <w:t xml:space="preserve">We will establish a leadership community platform to support the continuous professional development of Executive Level officers across the APS. </w:t>
            </w:r>
          </w:p>
          <w:p w14:paraId="72D9FD1D" w14:textId="77777777" w:rsidR="00610679" w:rsidRPr="00184FEB" w:rsidRDefault="00610679" w:rsidP="004C1429">
            <w:pPr>
              <w:pStyle w:val="tabletextnormal"/>
            </w:pPr>
            <w:r w:rsidRPr="00184FEB">
              <w:t xml:space="preserve">The platform will provide the infrastructure to address capability gaps, support targeted development for specific groups, including diversity cohorts, and promote a culture of continuous, practitioner-led learning. </w:t>
            </w:r>
          </w:p>
          <w:p w14:paraId="22885F7B" w14:textId="77777777" w:rsidR="00610679" w:rsidRPr="00184FEB" w:rsidRDefault="00610679" w:rsidP="004C1429">
            <w:pPr>
              <w:pStyle w:val="tabletextnormal"/>
            </w:pPr>
            <w:r w:rsidRPr="00184FEB">
              <w:t xml:space="preserve">It will also serve as a direct communication channel between the APS Commissioner, senior leaders and Executive Level cohort, strengthening leadership capability and connection across the service. </w:t>
            </w:r>
          </w:p>
          <w:p w14:paraId="171CF008" w14:textId="77777777" w:rsidR="00610679" w:rsidRPr="00184FEB" w:rsidRDefault="00610679" w:rsidP="007D1D8B">
            <w:pPr>
              <w:pStyle w:val="tabletextnormal"/>
              <w:spacing w:before="80"/>
              <w:rPr>
                <w:b/>
                <w:iCs/>
                <w:sz w:val="21"/>
                <w:szCs w:val="21"/>
              </w:rPr>
            </w:pPr>
            <w:r w:rsidRPr="00184FEB">
              <w:rPr>
                <w:b/>
                <w:iCs/>
                <w:sz w:val="21"/>
                <w:szCs w:val="21"/>
              </w:rPr>
              <w:t xml:space="preserve">What is the expected change we will see? </w:t>
            </w:r>
          </w:p>
          <w:p w14:paraId="44CAA303" w14:textId="77777777" w:rsidR="00610679" w:rsidRPr="00184FEB" w:rsidRDefault="00610679" w:rsidP="007D1D8B">
            <w:pPr>
              <w:pStyle w:val="TablebulletsforQRG"/>
            </w:pPr>
            <w:r w:rsidRPr="00184FEB">
              <w:t>Executive Level officers identify as part of a connected, APS-wide leadership community and contribute to a culture of shared growth and capability uplift</w:t>
            </w:r>
            <w:r w:rsidR="00E92C24" w:rsidRPr="00184FEB">
              <w:t>.</w:t>
            </w:r>
          </w:p>
          <w:p w14:paraId="3F6FB34A" w14:textId="77777777" w:rsidR="00610679" w:rsidRPr="00184FEB" w:rsidRDefault="00610679" w:rsidP="007D1D8B">
            <w:pPr>
              <w:pStyle w:val="TablebulletsforQRG"/>
            </w:pPr>
            <w:r w:rsidRPr="00184FEB">
              <w:t>Executive Level officers proactively develop priority capabilities</w:t>
            </w:r>
            <w:r w:rsidR="00E92C24" w:rsidRPr="00184FEB">
              <w:t>.</w:t>
            </w:r>
          </w:p>
          <w:p w14:paraId="1A9EA941" w14:textId="77777777" w:rsidR="00610679" w:rsidRPr="00184FEB" w:rsidRDefault="00610679" w:rsidP="000C3E74">
            <w:pPr>
              <w:pStyle w:val="TablebulletsforQRG"/>
            </w:pPr>
            <w:r w:rsidRPr="00184FEB">
              <w:t>Executive Level development is integrated into performance management, promotion and talent processes</w:t>
            </w:r>
            <w:r w:rsidR="00E92C24" w:rsidRPr="00184FEB">
              <w:t>.</w:t>
            </w:r>
          </w:p>
        </w:tc>
        <w:tc>
          <w:tcPr>
            <w:tcW w:w="1417" w:type="dxa"/>
            <w:tcBorders>
              <w:bottom w:val="single" w:sz="4" w:space="0" w:color="auto"/>
            </w:tcBorders>
            <w:shd w:val="clear" w:color="auto" w:fill="F8F8F0"/>
          </w:tcPr>
          <w:p w14:paraId="397C011B" w14:textId="77777777" w:rsidR="00610679" w:rsidRPr="00184FEB" w:rsidRDefault="00610679" w:rsidP="00ED7C8F">
            <w:pPr>
              <w:pStyle w:val="tabletextnormal"/>
            </w:pPr>
            <w:r w:rsidRPr="00184FEB">
              <w:t>APS Academy</w:t>
            </w:r>
          </w:p>
        </w:tc>
        <w:tc>
          <w:tcPr>
            <w:tcW w:w="1417" w:type="dxa"/>
            <w:tcBorders>
              <w:bottom w:val="single" w:sz="4" w:space="0" w:color="auto"/>
            </w:tcBorders>
            <w:shd w:val="clear" w:color="auto" w:fill="F8F8F0"/>
          </w:tcPr>
          <w:p w14:paraId="0F40D5A6" w14:textId="757100A5" w:rsidR="00610679" w:rsidRPr="00184FEB" w:rsidRDefault="00D42543" w:rsidP="00ED7C8F">
            <w:pPr>
              <w:pStyle w:val="tabletextnormal"/>
            </w:pPr>
            <w:r w:rsidRPr="00184FEB">
              <w:t>APS a</w:t>
            </w:r>
            <w:r w:rsidR="00610679" w:rsidRPr="00184FEB">
              <w:t>gencies</w:t>
            </w:r>
            <w:r w:rsidR="6C05788C" w:rsidRPr="00184FEB">
              <w:t>,</w:t>
            </w:r>
          </w:p>
          <w:p w14:paraId="4016D8AE" w14:textId="0A5862AD" w:rsidR="00610679" w:rsidRPr="00184FEB" w:rsidRDefault="6C05788C" w:rsidP="00CF6958">
            <w:pPr>
              <w:pStyle w:val="tabletextnormal"/>
              <w:spacing w:before="120"/>
            </w:pPr>
            <w:r w:rsidRPr="00184FEB">
              <w:t>National Blood Author</w:t>
            </w:r>
            <w:r w:rsidR="001A60B3" w:rsidRPr="00184FEB">
              <w:t>ity</w:t>
            </w:r>
          </w:p>
        </w:tc>
      </w:tr>
      <w:tr w:rsidR="009C16C0" w:rsidRPr="00184FEB" w14:paraId="14C749D3" w14:textId="77777777" w:rsidTr="00BB24C7">
        <w:trPr>
          <w:trHeight w:val="3204"/>
        </w:trPr>
        <w:tc>
          <w:tcPr>
            <w:tcW w:w="6803" w:type="dxa"/>
            <w:shd w:val="clear" w:color="auto" w:fill="EFEFDB"/>
          </w:tcPr>
          <w:p w14:paraId="14FB44AA" w14:textId="77777777" w:rsidR="00610679" w:rsidRPr="00184FEB" w:rsidRDefault="00610679" w:rsidP="00ED7C8F">
            <w:pPr>
              <w:pStyle w:val="tabletextnormal"/>
              <w:rPr>
                <w:b/>
                <w:bCs/>
                <w:sz w:val="21"/>
                <w:szCs w:val="21"/>
              </w:rPr>
            </w:pPr>
            <w:r w:rsidRPr="00184FEB">
              <w:rPr>
                <w:b/>
                <w:bCs/>
                <w:sz w:val="21"/>
                <w:szCs w:val="21"/>
              </w:rPr>
              <w:t>3.3 Develop L&amp;D Good Practice Guide</w:t>
            </w:r>
          </w:p>
          <w:p w14:paraId="47BBDDBA" w14:textId="4BBC4E32" w:rsidR="00610679" w:rsidRPr="00184FEB" w:rsidRDefault="00610679" w:rsidP="004C1429">
            <w:pPr>
              <w:pStyle w:val="tabletextnormal"/>
            </w:pPr>
            <w:r w:rsidRPr="00184FEB">
              <w:t xml:space="preserve">We will develop guidance to support consistent, high-quality learning and development across the APS. </w:t>
            </w:r>
          </w:p>
          <w:p w14:paraId="49C4BE34" w14:textId="77777777" w:rsidR="00610679" w:rsidRPr="00184FEB" w:rsidRDefault="00610679" w:rsidP="004C1429">
            <w:pPr>
              <w:pStyle w:val="tabletextnormal"/>
            </w:pPr>
            <w:r w:rsidRPr="00184FEB">
              <w:t xml:space="preserve">The guide will bring together key resources such as the APS Learning Design Manual, L&amp;D policy guidance, and case studies from across the public sector. </w:t>
            </w:r>
          </w:p>
          <w:p w14:paraId="43D3A72F" w14:textId="77777777" w:rsidR="00610679" w:rsidRPr="00184FEB" w:rsidRDefault="00610679" w:rsidP="004C1429">
            <w:pPr>
              <w:pStyle w:val="tabletextnormal"/>
            </w:pPr>
            <w:r w:rsidRPr="00184FEB">
              <w:t xml:space="preserve">It will provide practical advice and examples to help agencies design, deliver and evaluate effective learning that meets both agency and individual needs. </w:t>
            </w:r>
          </w:p>
          <w:p w14:paraId="472C2865" w14:textId="77777777" w:rsidR="00610679" w:rsidRPr="00184FEB" w:rsidRDefault="00610679" w:rsidP="005F0EB3">
            <w:pPr>
              <w:pStyle w:val="tabletextnormal"/>
              <w:rPr>
                <w:b/>
                <w:iCs/>
                <w:sz w:val="21"/>
                <w:szCs w:val="21"/>
              </w:rPr>
            </w:pPr>
            <w:r w:rsidRPr="00184FEB">
              <w:rPr>
                <w:b/>
                <w:iCs/>
                <w:sz w:val="21"/>
                <w:szCs w:val="21"/>
              </w:rPr>
              <w:t xml:space="preserve">What is the expected change we will see? </w:t>
            </w:r>
          </w:p>
          <w:p w14:paraId="35C4A022" w14:textId="77777777" w:rsidR="007D1D8B" w:rsidRPr="00184FEB" w:rsidRDefault="00610679" w:rsidP="000C3E74">
            <w:pPr>
              <w:pStyle w:val="TablebulletsforQRG"/>
            </w:pPr>
            <w:r w:rsidRPr="00184FEB">
              <w:t>Practitioners access the guide in developing learning solutions</w:t>
            </w:r>
            <w:r w:rsidR="00F7023D" w:rsidRPr="00184FEB">
              <w:t>.</w:t>
            </w:r>
          </w:p>
        </w:tc>
        <w:tc>
          <w:tcPr>
            <w:tcW w:w="1417" w:type="dxa"/>
            <w:shd w:val="clear" w:color="auto" w:fill="EFEFDB"/>
          </w:tcPr>
          <w:p w14:paraId="6191BC22" w14:textId="633F86CD" w:rsidR="00610679" w:rsidRPr="00184FEB" w:rsidRDefault="00C7634F" w:rsidP="0019292E">
            <w:pPr>
              <w:pStyle w:val="tabletextnormal"/>
            </w:pPr>
            <w:r w:rsidRPr="00184FEB">
              <w:t>Dep</w:t>
            </w:r>
            <w:r w:rsidR="0019292E" w:rsidRPr="00184FEB">
              <w:t xml:space="preserve">artment </w:t>
            </w:r>
            <w:r w:rsidRPr="00184FEB">
              <w:t>of Veterans’ Affairs</w:t>
            </w:r>
          </w:p>
        </w:tc>
        <w:tc>
          <w:tcPr>
            <w:tcW w:w="1417" w:type="dxa"/>
            <w:shd w:val="clear" w:color="auto" w:fill="EFEFDB"/>
          </w:tcPr>
          <w:p w14:paraId="4501DEF5" w14:textId="77777777" w:rsidR="00C7634F" w:rsidRPr="00184FEB" w:rsidRDefault="00610679" w:rsidP="00C7634F">
            <w:pPr>
              <w:pStyle w:val="tabletextnormal"/>
            </w:pPr>
            <w:r w:rsidRPr="00184FEB">
              <w:t>APS A</w:t>
            </w:r>
            <w:r w:rsidR="00C7634F" w:rsidRPr="00184FEB">
              <w:t>cademy,</w:t>
            </w:r>
          </w:p>
          <w:p w14:paraId="6C657266" w14:textId="076666BE" w:rsidR="00C7634F" w:rsidRPr="00184FEB" w:rsidRDefault="00C7634F" w:rsidP="00C7634F">
            <w:pPr>
              <w:pStyle w:val="tabletextnormal"/>
              <w:spacing w:before="120"/>
            </w:pPr>
            <w:r w:rsidRPr="00184FEB">
              <w:t>Dep</w:t>
            </w:r>
            <w:r w:rsidR="0019292E" w:rsidRPr="00184FEB">
              <w:t>artment</w:t>
            </w:r>
            <w:r w:rsidRPr="00184FEB">
              <w:t xml:space="preserve"> of Defence</w:t>
            </w:r>
            <w:r w:rsidR="774472C5" w:rsidRPr="00184FEB">
              <w:t>,</w:t>
            </w:r>
          </w:p>
          <w:p w14:paraId="7C9F79CA" w14:textId="4D04A425" w:rsidR="00C7634F" w:rsidRPr="00184FEB" w:rsidRDefault="774472C5" w:rsidP="00C7634F">
            <w:pPr>
              <w:pStyle w:val="tabletextnormal"/>
              <w:spacing w:before="120"/>
            </w:pPr>
            <w:r w:rsidRPr="00184FEB">
              <w:t>National Blood Author</w:t>
            </w:r>
            <w:r w:rsidR="001A60B3" w:rsidRPr="00184FEB">
              <w:t>ity</w:t>
            </w:r>
          </w:p>
        </w:tc>
      </w:tr>
    </w:tbl>
    <w:p w14:paraId="52350F2B" w14:textId="77777777" w:rsidR="00BB24C7" w:rsidRPr="00184FEB" w:rsidRDefault="00BB24C7" w:rsidP="00335A9F">
      <w:pPr>
        <w:pStyle w:val="Heading1"/>
        <w:spacing w:before="480" w:after="240"/>
        <w:ind w:left="-284"/>
      </w:pPr>
    </w:p>
    <w:p w14:paraId="3712A5A2" w14:textId="77777777" w:rsidR="00BB24C7" w:rsidRPr="00184FEB" w:rsidRDefault="00BB24C7" w:rsidP="00BB24C7">
      <w:pPr>
        <w:rPr>
          <w:rFonts w:asciiTheme="majorHAnsi" w:eastAsiaTheme="majorEastAsia" w:hAnsiTheme="majorHAnsi" w:cstheme="majorBidi"/>
          <w:sz w:val="40"/>
          <w:szCs w:val="32"/>
        </w:rPr>
      </w:pPr>
      <w:r w:rsidRPr="00184FEB">
        <w:br w:type="page"/>
      </w:r>
    </w:p>
    <w:p w14:paraId="674C0AAF" w14:textId="5893BEFC" w:rsidR="00961F35" w:rsidRPr="00184FEB" w:rsidRDefault="00961F35" w:rsidP="00335A9F">
      <w:pPr>
        <w:pStyle w:val="Heading1"/>
        <w:spacing w:before="480" w:after="240"/>
        <w:ind w:left="-284"/>
      </w:pPr>
      <w:r w:rsidRPr="00184FEB">
        <w:t>Pillar 4 – Technology</w:t>
      </w:r>
    </w:p>
    <w:tbl>
      <w:tblPr>
        <w:tblStyle w:val="TableGrid"/>
        <w:tblW w:w="9697" w:type="dxa"/>
        <w:tblInd w:w="-284" w:type="dxa"/>
        <w:tblBorders>
          <w:left w:val="none" w:sz="0" w:space="0" w:color="auto"/>
          <w:right w:val="none" w:sz="0" w:space="0" w:color="auto"/>
        </w:tblBorders>
        <w:tblCellMar>
          <w:top w:w="28" w:type="dxa"/>
          <w:bottom w:w="28" w:type="dxa"/>
        </w:tblCellMar>
        <w:tblLook w:val="04A0" w:firstRow="1" w:lastRow="0" w:firstColumn="1" w:lastColumn="0" w:noHBand="0" w:noVBand="1"/>
        <w:tblCaption w:val="Pillar 4 – Technology: Horizon Adapt (2025–2026)"/>
      </w:tblPr>
      <w:tblGrid>
        <w:gridCol w:w="6719"/>
        <w:gridCol w:w="1417"/>
        <w:gridCol w:w="1561"/>
      </w:tblGrid>
      <w:tr w:rsidR="00A63BAD" w:rsidRPr="00184FEB" w14:paraId="5279B1D4" w14:textId="77777777" w:rsidTr="00184FEB">
        <w:trPr>
          <w:trHeight w:val="572"/>
          <w:tblHeader/>
        </w:trPr>
        <w:tc>
          <w:tcPr>
            <w:tcW w:w="6719" w:type="dxa"/>
            <w:tcBorders>
              <w:bottom w:val="single" w:sz="4" w:space="0" w:color="auto"/>
            </w:tcBorders>
            <w:shd w:val="clear" w:color="auto" w:fill="4A4473"/>
            <w:vAlign w:val="center"/>
          </w:tcPr>
          <w:p w14:paraId="5BFA48F0" w14:textId="77777777" w:rsidR="00A63BAD" w:rsidRPr="00184FEB" w:rsidRDefault="00A63BAD" w:rsidP="00381811">
            <w:pPr>
              <w:pStyle w:val="tableheading"/>
              <w:rPr>
                <w:color w:val="FFFFFF" w:themeColor="background1"/>
                <w:sz w:val="24"/>
                <w:szCs w:val="24"/>
              </w:rPr>
            </w:pPr>
            <w:r w:rsidRPr="00184FEB">
              <w:rPr>
                <w:color w:val="FFFFFF" w:themeColor="background1"/>
                <w:sz w:val="24"/>
                <w:szCs w:val="24"/>
              </w:rPr>
              <w:t>Action</w:t>
            </w:r>
          </w:p>
        </w:tc>
        <w:tc>
          <w:tcPr>
            <w:tcW w:w="1417" w:type="dxa"/>
            <w:tcBorders>
              <w:bottom w:val="single" w:sz="4" w:space="0" w:color="auto"/>
            </w:tcBorders>
            <w:shd w:val="clear" w:color="auto" w:fill="4A4473"/>
            <w:vAlign w:val="center"/>
          </w:tcPr>
          <w:p w14:paraId="62FFE7DB" w14:textId="77777777" w:rsidR="00A63BAD" w:rsidRPr="00184FEB" w:rsidRDefault="00A63BAD" w:rsidP="00381811">
            <w:pPr>
              <w:pStyle w:val="tableheading"/>
              <w:rPr>
                <w:color w:val="FFFFFF" w:themeColor="background1"/>
                <w:sz w:val="24"/>
                <w:szCs w:val="24"/>
              </w:rPr>
            </w:pPr>
            <w:r w:rsidRPr="00184FEB">
              <w:rPr>
                <w:color w:val="FFFFFF" w:themeColor="background1"/>
                <w:sz w:val="24"/>
                <w:szCs w:val="24"/>
              </w:rPr>
              <w:t>Lead</w:t>
            </w:r>
          </w:p>
        </w:tc>
        <w:tc>
          <w:tcPr>
            <w:tcW w:w="1561" w:type="dxa"/>
            <w:tcBorders>
              <w:bottom w:val="single" w:sz="4" w:space="0" w:color="auto"/>
            </w:tcBorders>
            <w:shd w:val="clear" w:color="auto" w:fill="4A4473"/>
            <w:vAlign w:val="center"/>
          </w:tcPr>
          <w:p w14:paraId="078D477D" w14:textId="77777777" w:rsidR="00A63BAD" w:rsidRPr="00184FEB" w:rsidRDefault="00A63BAD" w:rsidP="00381811">
            <w:pPr>
              <w:pStyle w:val="tableheading"/>
              <w:rPr>
                <w:color w:val="FFFFFF" w:themeColor="background1"/>
                <w:sz w:val="24"/>
                <w:szCs w:val="24"/>
              </w:rPr>
            </w:pPr>
            <w:r w:rsidRPr="00184FEB">
              <w:rPr>
                <w:color w:val="FFFFFF" w:themeColor="background1"/>
                <w:sz w:val="24"/>
                <w:szCs w:val="24"/>
              </w:rPr>
              <w:t>Partner</w:t>
            </w:r>
          </w:p>
        </w:tc>
      </w:tr>
      <w:tr w:rsidR="00610679" w:rsidRPr="00184FEB" w14:paraId="21EE540D" w14:textId="77777777" w:rsidTr="00184FEB">
        <w:trPr>
          <w:trHeight w:val="2253"/>
        </w:trPr>
        <w:tc>
          <w:tcPr>
            <w:tcW w:w="6719" w:type="dxa"/>
            <w:tcBorders>
              <w:bottom w:val="single" w:sz="4" w:space="0" w:color="auto"/>
            </w:tcBorders>
            <w:shd w:val="clear" w:color="auto" w:fill="E0DFEA"/>
          </w:tcPr>
          <w:p w14:paraId="0082BAEF" w14:textId="77777777" w:rsidR="00610679" w:rsidRPr="00184FEB" w:rsidRDefault="00610679" w:rsidP="00ED7C8F">
            <w:pPr>
              <w:pStyle w:val="tabletextnormal"/>
              <w:rPr>
                <w:sz w:val="21"/>
                <w:szCs w:val="21"/>
              </w:rPr>
            </w:pPr>
            <w:r w:rsidRPr="00184FEB">
              <w:rPr>
                <w:b/>
                <w:bCs/>
                <w:sz w:val="21"/>
                <w:szCs w:val="21"/>
              </w:rPr>
              <w:t>4.1 Enhance interoperability by connecting existing systems and enabling integrated channels</w:t>
            </w:r>
          </w:p>
          <w:p w14:paraId="759813F7" w14:textId="2B7BE992" w:rsidR="00610679" w:rsidRPr="00184FEB" w:rsidRDefault="00610679" w:rsidP="00381811">
            <w:pPr>
              <w:pStyle w:val="tabletextnormal"/>
            </w:pPr>
            <w:r w:rsidRPr="00184FEB">
              <w:t xml:space="preserve">We will strengthen the connections between existing platforms and expand mechanisms, such as the APS Learning Bank, which facilitates the exchange of L&amp;D solutions. </w:t>
            </w:r>
          </w:p>
          <w:p w14:paraId="29EA7A0A" w14:textId="77777777" w:rsidR="00610679" w:rsidRPr="00184FEB" w:rsidRDefault="00610679" w:rsidP="00FB66C9">
            <w:pPr>
              <w:pStyle w:val="tabletextnormal"/>
            </w:pPr>
            <w:r w:rsidRPr="00184FEB">
              <w:t>Subject to the forward work plan of the Learning Technology Governance Group, we will also explore the potential for a learning passport, allowing learning to be recognised and transferred across roles and agencies, and conduct a Request for Information process to build a contemporary view of current learning functionality, best-of-breed platforms and opportunities to consolidate platforms, volume licensing and innovative pricing arrangements.</w:t>
            </w:r>
          </w:p>
          <w:p w14:paraId="605C1018" w14:textId="77777777" w:rsidR="00610679" w:rsidRPr="00184FEB" w:rsidRDefault="00610679" w:rsidP="005F0EB3">
            <w:pPr>
              <w:pStyle w:val="tabletextnormal"/>
              <w:rPr>
                <w:b/>
                <w:sz w:val="21"/>
                <w:szCs w:val="21"/>
              </w:rPr>
            </w:pPr>
            <w:r w:rsidRPr="00184FEB">
              <w:rPr>
                <w:b/>
                <w:sz w:val="21"/>
                <w:szCs w:val="21"/>
              </w:rPr>
              <w:t xml:space="preserve">What is the expected change we will see? </w:t>
            </w:r>
          </w:p>
          <w:p w14:paraId="297AE996" w14:textId="77777777" w:rsidR="00610679" w:rsidRPr="00184FEB" w:rsidRDefault="00610679" w:rsidP="00381811">
            <w:pPr>
              <w:pStyle w:val="TablebulletsforQRG"/>
            </w:pPr>
            <w:r w:rsidRPr="00184FEB">
              <w:t>Agencies access the APS Learning Bank (or other platforms) prior to procuring new learning assets</w:t>
            </w:r>
            <w:r w:rsidR="000C3E74" w:rsidRPr="00184FEB">
              <w:t>.</w:t>
            </w:r>
          </w:p>
          <w:p w14:paraId="4F6333C1" w14:textId="77777777" w:rsidR="00610679" w:rsidRPr="00184FEB" w:rsidRDefault="00610679" w:rsidP="000C3E74">
            <w:pPr>
              <w:pStyle w:val="TablebulletsforQRG"/>
              <w:rPr>
                <w:i/>
              </w:rPr>
            </w:pPr>
            <w:r w:rsidRPr="00184FEB">
              <w:t>Agencies deposit learning solutions into APS Learning Bank (or other platforms) as they are developed for others to use</w:t>
            </w:r>
            <w:r w:rsidR="000C3E74" w:rsidRPr="00184FEB">
              <w:t>.</w:t>
            </w:r>
          </w:p>
        </w:tc>
        <w:tc>
          <w:tcPr>
            <w:tcW w:w="1417" w:type="dxa"/>
            <w:tcBorders>
              <w:bottom w:val="single" w:sz="4" w:space="0" w:color="auto"/>
            </w:tcBorders>
            <w:shd w:val="clear" w:color="auto" w:fill="E0DFEA"/>
          </w:tcPr>
          <w:p w14:paraId="5765F695" w14:textId="77777777" w:rsidR="00610679" w:rsidRPr="00184FEB" w:rsidRDefault="00610679" w:rsidP="00ED7C8F">
            <w:pPr>
              <w:pStyle w:val="tabletextnormal"/>
            </w:pPr>
            <w:r w:rsidRPr="00184FEB">
              <w:t>APS Academy</w:t>
            </w:r>
          </w:p>
        </w:tc>
        <w:tc>
          <w:tcPr>
            <w:tcW w:w="1561" w:type="dxa"/>
            <w:tcBorders>
              <w:bottom w:val="single" w:sz="4" w:space="0" w:color="auto"/>
            </w:tcBorders>
            <w:shd w:val="clear" w:color="auto" w:fill="E0DFEA"/>
          </w:tcPr>
          <w:p w14:paraId="2D810FCA" w14:textId="77777777" w:rsidR="00610679" w:rsidRPr="00184FEB" w:rsidRDefault="00610679" w:rsidP="00ED7C8F">
            <w:pPr>
              <w:pStyle w:val="tabletextnormal"/>
            </w:pPr>
            <w:r w:rsidRPr="00184FEB">
              <w:t>APS Agencies</w:t>
            </w:r>
          </w:p>
        </w:tc>
      </w:tr>
      <w:tr w:rsidR="00610679" w:rsidRPr="00184FEB" w14:paraId="30978BB2" w14:textId="77777777" w:rsidTr="00184FEB">
        <w:trPr>
          <w:trHeight w:val="2979"/>
        </w:trPr>
        <w:tc>
          <w:tcPr>
            <w:tcW w:w="6719" w:type="dxa"/>
            <w:tcBorders>
              <w:bottom w:val="single" w:sz="4" w:space="0" w:color="auto"/>
            </w:tcBorders>
            <w:shd w:val="clear" w:color="auto" w:fill="ECEBF2"/>
          </w:tcPr>
          <w:p w14:paraId="10C1C6E6" w14:textId="77777777" w:rsidR="00610679" w:rsidRPr="00184FEB" w:rsidRDefault="00610679" w:rsidP="00ED7C8F">
            <w:pPr>
              <w:pStyle w:val="tabletextnormal"/>
              <w:rPr>
                <w:b/>
                <w:bCs/>
                <w:sz w:val="21"/>
                <w:szCs w:val="21"/>
              </w:rPr>
            </w:pPr>
            <w:r w:rsidRPr="00184FEB">
              <w:rPr>
                <w:b/>
                <w:bCs/>
                <w:sz w:val="21"/>
                <w:szCs w:val="21"/>
              </w:rPr>
              <w:t>4.2 Build L&amp;D capability across the APS to optimise the impact of learning technology investments</w:t>
            </w:r>
          </w:p>
          <w:p w14:paraId="2416545B" w14:textId="7A410579" w:rsidR="00610679" w:rsidRPr="00184FEB" w:rsidRDefault="00610679" w:rsidP="00ED7C8F">
            <w:pPr>
              <w:pStyle w:val="tabletextnormal"/>
            </w:pPr>
            <w:r w:rsidRPr="00184FEB">
              <w:t xml:space="preserve">We will co-design and implement a deliberate, coordinated approach to build capability and confidence in this area. </w:t>
            </w:r>
          </w:p>
          <w:p w14:paraId="1850B1A8" w14:textId="77777777" w:rsidR="00610679" w:rsidRPr="00184FEB" w:rsidRDefault="00610679" w:rsidP="00ED7C8F">
            <w:pPr>
              <w:pStyle w:val="tabletextnormal"/>
            </w:pPr>
            <w:r w:rsidRPr="00184FEB">
              <w:t xml:space="preserve">We will support practitioners with practical resources, training, guidance and networks to help them make the most of learning technologies. </w:t>
            </w:r>
          </w:p>
          <w:p w14:paraId="2856A82F" w14:textId="77777777" w:rsidR="00610679" w:rsidRPr="00184FEB" w:rsidRDefault="00610679" w:rsidP="005F0EB3">
            <w:pPr>
              <w:pStyle w:val="tabletextnormal"/>
              <w:rPr>
                <w:b/>
                <w:iCs/>
              </w:rPr>
            </w:pPr>
            <w:r w:rsidRPr="00184FEB">
              <w:rPr>
                <w:b/>
                <w:iCs/>
              </w:rPr>
              <w:t xml:space="preserve">What is the expected change we will see? </w:t>
            </w:r>
          </w:p>
          <w:p w14:paraId="6CF28B90" w14:textId="77777777" w:rsidR="00610679" w:rsidRPr="00184FEB" w:rsidRDefault="00610679" w:rsidP="000C3E74">
            <w:pPr>
              <w:pStyle w:val="TablebulletsforQRG"/>
            </w:pPr>
            <w:r w:rsidRPr="00184FEB">
              <w:t>L&amp;D Practitioners advocate for and champion technology as a central design to L&amp;D solutions</w:t>
            </w:r>
            <w:r w:rsidR="000C3E74" w:rsidRPr="00184FEB">
              <w:t>.</w:t>
            </w:r>
          </w:p>
        </w:tc>
        <w:tc>
          <w:tcPr>
            <w:tcW w:w="1417" w:type="dxa"/>
            <w:tcBorders>
              <w:bottom w:val="single" w:sz="4" w:space="0" w:color="auto"/>
            </w:tcBorders>
            <w:shd w:val="clear" w:color="auto" w:fill="ECEBF2"/>
          </w:tcPr>
          <w:p w14:paraId="3489DF7F" w14:textId="77777777" w:rsidR="00610679" w:rsidRPr="00184FEB" w:rsidRDefault="00610679" w:rsidP="00ED7C8F">
            <w:pPr>
              <w:pStyle w:val="tabletextnormal"/>
            </w:pPr>
            <w:r w:rsidRPr="00184FEB">
              <w:t>APS Academy</w:t>
            </w:r>
          </w:p>
        </w:tc>
        <w:tc>
          <w:tcPr>
            <w:tcW w:w="1561" w:type="dxa"/>
            <w:tcBorders>
              <w:bottom w:val="single" w:sz="4" w:space="0" w:color="auto"/>
            </w:tcBorders>
            <w:shd w:val="clear" w:color="auto" w:fill="ECEBF2"/>
          </w:tcPr>
          <w:p w14:paraId="10CBF470" w14:textId="77777777" w:rsidR="00610679" w:rsidRPr="00184FEB" w:rsidRDefault="00610679" w:rsidP="00ED7C8F">
            <w:pPr>
              <w:pStyle w:val="tabletextnormal"/>
            </w:pPr>
            <w:r w:rsidRPr="00184FEB">
              <w:t>Digital Profession</w:t>
            </w:r>
          </w:p>
        </w:tc>
      </w:tr>
      <w:tr w:rsidR="00335A9F" w:rsidRPr="00184FEB" w14:paraId="6F1CED58" w14:textId="77777777" w:rsidTr="00184FEB">
        <w:trPr>
          <w:trHeight w:val="739"/>
        </w:trPr>
        <w:tc>
          <w:tcPr>
            <w:tcW w:w="6719" w:type="dxa"/>
            <w:shd w:val="clear" w:color="auto" w:fill="E0DFEA"/>
          </w:tcPr>
          <w:p w14:paraId="5B038805" w14:textId="77777777" w:rsidR="00335A9F" w:rsidRPr="00184FEB" w:rsidRDefault="00335A9F" w:rsidP="00335A9F">
            <w:pPr>
              <w:pStyle w:val="tabletextnormal"/>
              <w:rPr>
                <w:b/>
                <w:bCs/>
                <w:sz w:val="21"/>
                <w:szCs w:val="21"/>
              </w:rPr>
            </w:pPr>
            <w:r w:rsidRPr="00184FEB">
              <w:rPr>
                <w:b/>
                <w:bCs/>
                <w:sz w:val="21"/>
                <w:szCs w:val="21"/>
              </w:rPr>
              <w:t>4.3 Scope an APS Learning Technology Policy</w:t>
            </w:r>
          </w:p>
          <w:p w14:paraId="757E88EC" w14:textId="3DBF9843" w:rsidR="00335A9F" w:rsidRPr="00184FEB" w:rsidRDefault="00335A9F" w:rsidP="00335A9F">
            <w:pPr>
              <w:pStyle w:val="tabletextnormal"/>
              <w:spacing w:before="40"/>
            </w:pPr>
            <w:r w:rsidRPr="00184FEB">
              <w:t xml:space="preserve">We will scope the development of an APS-wide Learning Technology Policy to guide how learning technologies are selected, used and managed across the APS. We will explore what such a policy should include and how it should guide investment decisions, covering procurement, deployment and the use of learning technologies. It will also recommend the consistent use of key standards for technology integration, accessibility and AI. </w:t>
            </w:r>
          </w:p>
          <w:p w14:paraId="6DF2DA90" w14:textId="77777777" w:rsidR="00335A9F" w:rsidRPr="00184FEB" w:rsidRDefault="00335A9F" w:rsidP="00335A9F">
            <w:pPr>
              <w:pStyle w:val="tabletextnormal"/>
            </w:pPr>
            <w:r w:rsidRPr="00184FEB">
              <w:t>The Learning Technology Governance Group will help shape the policy parameters and provide input on implementation considerations and recommendations.</w:t>
            </w:r>
          </w:p>
          <w:p w14:paraId="2E9A7C02" w14:textId="77777777" w:rsidR="00335A9F" w:rsidRPr="00184FEB" w:rsidRDefault="00335A9F" w:rsidP="00335A9F">
            <w:pPr>
              <w:pStyle w:val="tabletextnormal"/>
              <w:spacing w:before="100"/>
              <w:rPr>
                <w:b/>
                <w:iCs/>
                <w:sz w:val="21"/>
                <w:szCs w:val="21"/>
              </w:rPr>
            </w:pPr>
            <w:r w:rsidRPr="00184FEB">
              <w:rPr>
                <w:b/>
                <w:iCs/>
                <w:sz w:val="21"/>
                <w:szCs w:val="21"/>
              </w:rPr>
              <w:t xml:space="preserve">What is the </w:t>
            </w:r>
            <w:r w:rsidRPr="00184FEB">
              <w:rPr>
                <w:b/>
                <w:bCs/>
                <w:sz w:val="21"/>
                <w:szCs w:val="21"/>
              </w:rPr>
              <w:t>expected</w:t>
            </w:r>
            <w:r w:rsidRPr="00184FEB">
              <w:rPr>
                <w:b/>
                <w:iCs/>
                <w:sz w:val="21"/>
                <w:szCs w:val="21"/>
              </w:rPr>
              <w:t xml:space="preserve"> change we will see? </w:t>
            </w:r>
          </w:p>
          <w:p w14:paraId="3734CA42" w14:textId="77777777" w:rsidR="00335A9F" w:rsidRPr="00184FEB" w:rsidRDefault="00335A9F" w:rsidP="00900314">
            <w:pPr>
              <w:pStyle w:val="TablebulletsforQRG"/>
            </w:pPr>
            <w:r w:rsidRPr="00184FEB">
              <w:t>Agencies proactively engage with drafting process, ensuring the policy is informed by a broad perspectives and expertise</w:t>
            </w:r>
            <w:r w:rsidR="000C3E74" w:rsidRPr="00184FEB">
              <w:t>.</w:t>
            </w:r>
          </w:p>
        </w:tc>
        <w:tc>
          <w:tcPr>
            <w:tcW w:w="1417" w:type="dxa"/>
            <w:shd w:val="clear" w:color="auto" w:fill="E0DFEA"/>
          </w:tcPr>
          <w:p w14:paraId="0272AE7F" w14:textId="0AF6C451" w:rsidR="00335A9F" w:rsidRPr="00184FEB" w:rsidRDefault="00CF6958" w:rsidP="00CF6958">
            <w:pPr>
              <w:pStyle w:val="tabletextnormal"/>
            </w:pPr>
            <w:r w:rsidRPr="00184FEB">
              <w:t>APS Academy</w:t>
            </w:r>
          </w:p>
        </w:tc>
        <w:tc>
          <w:tcPr>
            <w:tcW w:w="1561" w:type="dxa"/>
            <w:shd w:val="clear" w:color="auto" w:fill="E0DFEA"/>
          </w:tcPr>
          <w:p w14:paraId="0CA6E465" w14:textId="34B8DE83" w:rsidR="00CF6958" w:rsidRPr="00184FEB" w:rsidRDefault="00CF6958" w:rsidP="00CF6958">
            <w:pPr>
              <w:pStyle w:val="tabletextnormal"/>
            </w:pPr>
            <w:r w:rsidRPr="00184FEB">
              <w:t>Digital Transformation Agency,</w:t>
            </w:r>
          </w:p>
          <w:p w14:paraId="12DF8EDD" w14:textId="77777777" w:rsidR="00335A9F" w:rsidRPr="00184FEB" w:rsidRDefault="00335A9F" w:rsidP="00CF6958">
            <w:pPr>
              <w:pStyle w:val="tabletextnormal"/>
              <w:spacing w:before="120"/>
            </w:pPr>
            <w:r w:rsidRPr="00184FEB">
              <w:t>Digital Profession</w:t>
            </w:r>
          </w:p>
        </w:tc>
      </w:tr>
    </w:tbl>
    <w:p w14:paraId="6A05A809" w14:textId="77777777" w:rsidR="00A87527" w:rsidRPr="00184FEB" w:rsidRDefault="00A87527" w:rsidP="00335A9F">
      <w:pPr>
        <w:tabs>
          <w:tab w:val="left" w:pos="1302"/>
          <w:tab w:val="left" w:pos="2300"/>
        </w:tabs>
        <w:spacing w:before="0" w:after="0"/>
        <w:rPr>
          <w:sz w:val="2"/>
          <w:szCs w:val="2"/>
        </w:rPr>
      </w:pPr>
    </w:p>
    <w:sectPr w:rsidR="00A87527" w:rsidRPr="00184FEB" w:rsidSect="00335A9F">
      <w:footerReference w:type="default" r:id="rId11"/>
      <w:headerReference w:type="first" r:id="rId12"/>
      <w:footerReference w:type="first" r:id="rId13"/>
      <w:pgSz w:w="11906" w:h="16838" w:code="9"/>
      <w:pgMar w:top="1508" w:right="1418" w:bottom="963" w:left="1418" w:header="357" w:footer="0" w:gutter="0"/>
      <w:pgNumType w:start="1"/>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BCC7E" w14:textId="77777777" w:rsidR="00CD0B60" w:rsidRDefault="00CD0B60" w:rsidP="00A66202">
      <w:pPr>
        <w:spacing w:before="0" w:after="0"/>
      </w:pPr>
      <w:r>
        <w:separator/>
      </w:r>
    </w:p>
    <w:p w14:paraId="52A0DC55" w14:textId="77777777" w:rsidR="00CD0B60" w:rsidRDefault="00CD0B60"/>
  </w:endnote>
  <w:endnote w:type="continuationSeparator" w:id="0">
    <w:p w14:paraId="07C3CF42" w14:textId="77777777" w:rsidR="00CD0B60" w:rsidRDefault="00CD0B60" w:rsidP="00A66202">
      <w:pPr>
        <w:spacing w:before="0" w:after="0"/>
      </w:pPr>
      <w:r>
        <w:continuationSeparator/>
      </w:r>
    </w:p>
    <w:p w14:paraId="7DF2D670" w14:textId="77777777" w:rsidR="00CD0B60" w:rsidRDefault="00CD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231B" w14:textId="4E2D78FD" w:rsidR="00951477" w:rsidRPr="00CA464C" w:rsidRDefault="009C16C0" w:rsidP="00583008">
    <w:pPr>
      <w:pStyle w:val="Footer"/>
      <w:ind w:left="1701" w:firstLine="1985"/>
      <w:rPr>
        <w:sz w:val="14"/>
        <w:szCs w:val="14"/>
      </w:rPr>
    </w:pPr>
    <w:r w:rsidRPr="00CA464C">
      <w:rPr>
        <w:noProof/>
        <w:sz w:val="14"/>
        <w:szCs w:val="14"/>
        <w:lang w:eastAsia="en-AU"/>
      </w:rPr>
      <mc:AlternateContent>
        <mc:Choice Requires="wps">
          <w:drawing>
            <wp:anchor distT="0" distB="0" distL="114300" distR="114300" simplePos="0" relativeHeight="251656192" behindDoc="0" locked="0" layoutInCell="1" allowOverlap="1" wp14:anchorId="539AFD5D" wp14:editId="0C8033A9">
              <wp:simplePos x="0" y="0"/>
              <wp:positionH relativeFrom="margin">
                <wp:posOffset>-170668</wp:posOffset>
              </wp:positionH>
              <wp:positionV relativeFrom="paragraph">
                <wp:posOffset>103847</wp:posOffset>
              </wp:positionV>
              <wp:extent cx="6251330" cy="0"/>
              <wp:effectExtent l="0" t="0" r="10160" b="12700"/>
              <wp:wrapNone/>
              <wp:docPr id="1" name="Straight Connector 1" title="&quot;&quot; "/>
              <wp:cNvGraphicFramePr/>
              <a:graphic xmlns:a="http://schemas.openxmlformats.org/drawingml/2006/main">
                <a:graphicData uri="http://schemas.microsoft.com/office/word/2010/wordprocessingShape">
                  <wps:wsp>
                    <wps:cNvCnPr/>
                    <wps:spPr>
                      <a:xfrm>
                        <a:off x="0" y="0"/>
                        <a:ext cx="6251330"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6CF57" id="Straight Connector 1" o:spid="_x0000_s1026" alt="Title: &quot;&quot; "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45pt,8.2pt" to="478.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" strokecolor="#393737 [814]" strokeweight=".5pt">
              <v:stroke joinstyle="miter"/>
              <w10:wrap anchorx="margin"/>
            </v:line>
          </w:pict>
        </mc:Fallback>
      </mc:AlternateContent>
    </w:r>
    <w:r w:rsidR="00583008">
      <w:rPr>
        <w:noProof/>
        <w:sz w:val="14"/>
        <w:szCs w:val="14"/>
        <w:lang w:eastAsia="en-AU"/>
      </w:rPr>
      <w:t>Adapt Horizon</w:t>
    </w:r>
    <w:r w:rsidR="00583008">
      <w:rPr>
        <w:sz w:val="14"/>
        <w:szCs w:val="14"/>
      </w:rPr>
      <w:t xml:space="preserve">   </w:t>
    </w:r>
    <w:r w:rsidR="0002018C">
      <w:rPr>
        <w:sz w:val="14"/>
        <w:szCs w:val="14"/>
      </w:rPr>
      <w:t xml:space="preserve">I   </w: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184FEB">
      <w:rPr>
        <w:noProof/>
        <w:sz w:val="14"/>
        <w:szCs w:val="14"/>
      </w:rPr>
      <w:t>9</w:t>
    </w:r>
    <w:r w:rsidR="00CA464C" w:rsidRPr="00CA464C">
      <w:rPr>
        <w:noProof/>
        <w:sz w:val="14"/>
        <w:szCs w:val="14"/>
      </w:rPr>
      <w:fldChar w:fldCharType="end"/>
    </w:r>
  </w:p>
  <w:p w14:paraId="5A39BBE3" w14:textId="77777777" w:rsidR="005062B7" w:rsidRDefault="005062B7" w:rsidP="00034B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ACC5" w14:textId="3D34FF3E" w:rsidR="00A87527" w:rsidRPr="00CA464C" w:rsidRDefault="00034BB9" w:rsidP="00583008">
    <w:pPr>
      <w:pStyle w:val="Footer"/>
      <w:ind w:left="1701" w:firstLine="1985"/>
      <w:rPr>
        <w:sz w:val="14"/>
        <w:szCs w:val="14"/>
      </w:rPr>
    </w:pPr>
    <w:r w:rsidRPr="00CA464C">
      <w:rPr>
        <w:noProof/>
        <w:sz w:val="14"/>
        <w:szCs w:val="14"/>
        <w:lang w:eastAsia="en-AU"/>
      </w:rPr>
      <mc:AlternateContent>
        <mc:Choice Requires="wps">
          <w:drawing>
            <wp:anchor distT="0" distB="0" distL="114300" distR="114300" simplePos="0" relativeHeight="251657216" behindDoc="0" locked="0" layoutInCell="1" allowOverlap="1" wp14:anchorId="52A6ACD1" wp14:editId="4EF386F5">
              <wp:simplePos x="0" y="0"/>
              <wp:positionH relativeFrom="margin">
                <wp:posOffset>-205838</wp:posOffset>
              </wp:positionH>
              <wp:positionV relativeFrom="paragraph">
                <wp:posOffset>60520</wp:posOffset>
              </wp:positionV>
              <wp:extent cx="6216162" cy="0"/>
              <wp:effectExtent l="0" t="0" r="6985" b="12700"/>
              <wp:wrapNone/>
              <wp:docPr id="704704317" name="Straight Connector 704704317" title="&quot;&quot; "/>
              <wp:cNvGraphicFramePr/>
              <a:graphic xmlns:a="http://schemas.openxmlformats.org/drawingml/2006/main">
                <a:graphicData uri="http://schemas.microsoft.com/office/word/2010/wordprocessingShape">
                  <wps:wsp>
                    <wps:cNvCnPr/>
                    <wps:spPr>
                      <a:xfrm>
                        <a:off x="0" y="0"/>
                        <a:ext cx="6216162"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203FF" id="Straight Connector 704704317" o:spid="_x0000_s1026" alt="Title: &quot;&quot; "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2pt,4.75pt" to="47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" strokecolor="#393737 [814]" strokeweight=".5pt">
              <v:stroke joinstyle="miter"/>
              <w10:wrap anchorx="margin"/>
            </v:line>
          </w:pict>
        </mc:Fallback>
      </mc:AlternateContent>
    </w:r>
    <w:r w:rsidR="00583008">
      <w:rPr>
        <w:noProof/>
        <w:sz w:val="14"/>
        <w:szCs w:val="14"/>
        <w:lang w:eastAsia="en-AU"/>
      </w:rPr>
      <w:t>Adapt Horizon</w:t>
    </w:r>
    <w:r w:rsidR="00A87527">
      <w:rPr>
        <w:sz w:val="14"/>
        <w:szCs w:val="14"/>
      </w:rPr>
      <w:t xml:space="preserve">   I   </w:t>
    </w:r>
    <w:r w:rsidR="00A87527" w:rsidRPr="00CA464C">
      <w:rPr>
        <w:b/>
        <w:sz w:val="14"/>
        <w:szCs w:val="14"/>
      </w:rPr>
      <w:t>Page</w:t>
    </w:r>
    <w:r w:rsidR="00A87527">
      <w:rPr>
        <w:sz w:val="14"/>
        <w:szCs w:val="14"/>
      </w:rPr>
      <w:t xml:space="preserve"> </w:t>
    </w:r>
    <w:r w:rsidR="00A87527" w:rsidRPr="00CA464C">
      <w:rPr>
        <w:sz w:val="14"/>
        <w:szCs w:val="14"/>
      </w:rPr>
      <w:fldChar w:fldCharType="begin"/>
    </w:r>
    <w:r w:rsidR="00A87527" w:rsidRPr="00CA464C">
      <w:rPr>
        <w:sz w:val="14"/>
        <w:szCs w:val="14"/>
      </w:rPr>
      <w:instrText xml:space="preserve"> PAGE   \* MERGEFORMAT </w:instrText>
    </w:r>
    <w:r w:rsidR="00A87527" w:rsidRPr="00CA464C">
      <w:rPr>
        <w:sz w:val="14"/>
        <w:szCs w:val="14"/>
      </w:rPr>
      <w:fldChar w:fldCharType="separate"/>
    </w:r>
    <w:r w:rsidR="00CD0B60">
      <w:rPr>
        <w:noProof/>
        <w:sz w:val="14"/>
        <w:szCs w:val="14"/>
      </w:rPr>
      <w:t>1</w:t>
    </w:r>
    <w:r w:rsidR="00A87527" w:rsidRPr="00CA464C">
      <w:rPr>
        <w:noProof/>
        <w:sz w:val="14"/>
        <w:szCs w:val="14"/>
      </w:rPr>
      <w:fldChar w:fldCharType="end"/>
    </w:r>
  </w:p>
  <w:p w14:paraId="3DEEC669" w14:textId="77777777" w:rsidR="00A87527" w:rsidRPr="00A87527" w:rsidRDefault="00A87527" w:rsidP="00034B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2F6D" w14:textId="77777777" w:rsidR="00CD0B60" w:rsidRPr="0087224E" w:rsidRDefault="00CD0B60" w:rsidP="0087224E">
      <w:pPr>
        <w:spacing w:before="300"/>
        <w:rPr>
          <w:color w:val="4DA3AB" w:themeColor="accent1"/>
          <w:sz w:val="18"/>
          <w:szCs w:val="18"/>
        </w:rPr>
      </w:pPr>
      <w:r w:rsidRPr="0087224E">
        <w:rPr>
          <w:color w:val="4DA3AB" w:themeColor="accent1"/>
          <w:sz w:val="18"/>
          <w:szCs w:val="18"/>
        </w:rPr>
        <w:t>_____</w:t>
      </w:r>
    </w:p>
    <w:p w14:paraId="72F31B8C" w14:textId="77777777" w:rsidR="00CD0B60" w:rsidRDefault="00CD0B60"/>
  </w:footnote>
  <w:footnote w:type="continuationSeparator" w:id="0">
    <w:p w14:paraId="5FAFB9A1" w14:textId="77777777" w:rsidR="00CD0B60" w:rsidRDefault="00CD0B60" w:rsidP="00A66202">
      <w:pPr>
        <w:spacing w:before="0" w:after="0"/>
      </w:pPr>
      <w:r>
        <w:continuationSeparator/>
      </w:r>
    </w:p>
    <w:p w14:paraId="73714E7F" w14:textId="77777777" w:rsidR="00CD0B60" w:rsidRDefault="00CD0B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57E2" w14:textId="0AB39FF9" w:rsidR="00057A28" w:rsidRDefault="003A4B0A">
    <w:pPr>
      <w:pStyle w:val="Header"/>
    </w:pPr>
    <w:r>
      <w:rPr>
        <w:noProof/>
        <w:lang w:eastAsia="en-AU"/>
      </w:rPr>
      <w:drawing>
        <wp:anchor distT="0" distB="0" distL="114300" distR="114300" simplePos="0" relativeHeight="251658240" behindDoc="1" locked="0" layoutInCell="1" allowOverlap="1" wp14:anchorId="18A32FAF" wp14:editId="47FF36CB">
          <wp:simplePos x="0" y="0"/>
          <wp:positionH relativeFrom="column">
            <wp:posOffset>-901521</wp:posOffset>
          </wp:positionH>
          <wp:positionV relativeFrom="paragraph">
            <wp:posOffset>-211956</wp:posOffset>
          </wp:positionV>
          <wp:extent cx="7578000" cy="2509200"/>
          <wp:effectExtent l="0" t="0" r="4445" b="5715"/>
          <wp:wrapNone/>
          <wp:docPr id="1568203214" name="Picture 3" descr="&quot;&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pic="http://schemas.openxmlformats.org/drawingml/2006/pictur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94489" name="Picture 3" descr="Australian Government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a:stretch>
                    <a:fillRect/>
                  </a:stretch>
                </pic:blipFill>
                <pic:spPr>
                  <a:xfrm>
                    <a:off x="0" y="0"/>
                    <a:ext cx="7578000" cy="2509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hB8rhcs5" int2:invalidationBookmarkName="" int2:hashCode="+WWAvUCw8zzkxP" int2:id="YIDf5OW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CEF33B5"/>
    <w:multiLevelType w:val="hybridMultilevel"/>
    <w:tmpl w:val="AD88C8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A6C6E26"/>
    <w:multiLevelType w:val="hybridMultilevel"/>
    <w:tmpl w:val="0C1E5D90"/>
    <w:lvl w:ilvl="0" w:tplc="ADB0B1CA">
      <w:start w:val="1"/>
      <w:numFmt w:val="bullet"/>
      <w:pStyle w:val="TablebulletsforQRG"/>
      <w:lvlText w:val=""/>
      <w:lvlJc w:val="left"/>
      <w:pPr>
        <w:ind w:left="227" w:hanging="227"/>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7"/>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7"/>
    <w:rsid w:val="000014E7"/>
    <w:rsid w:val="00002BB2"/>
    <w:rsid w:val="0000644F"/>
    <w:rsid w:val="00007C5D"/>
    <w:rsid w:val="0002018C"/>
    <w:rsid w:val="00021EB9"/>
    <w:rsid w:val="00034BB9"/>
    <w:rsid w:val="00040993"/>
    <w:rsid w:val="0004575F"/>
    <w:rsid w:val="00057A28"/>
    <w:rsid w:val="000644AF"/>
    <w:rsid w:val="00081BD1"/>
    <w:rsid w:val="0008481C"/>
    <w:rsid w:val="00085333"/>
    <w:rsid w:val="00090430"/>
    <w:rsid w:val="00091D8C"/>
    <w:rsid w:val="000A2CF8"/>
    <w:rsid w:val="000A52E3"/>
    <w:rsid w:val="000A55F1"/>
    <w:rsid w:val="000C3E74"/>
    <w:rsid w:val="000D1306"/>
    <w:rsid w:val="000E5C74"/>
    <w:rsid w:val="000F5F07"/>
    <w:rsid w:val="000F6B0D"/>
    <w:rsid w:val="00100934"/>
    <w:rsid w:val="00110A2A"/>
    <w:rsid w:val="00111B31"/>
    <w:rsid w:val="001217AC"/>
    <w:rsid w:val="00126351"/>
    <w:rsid w:val="001333A2"/>
    <w:rsid w:val="00136336"/>
    <w:rsid w:val="00141C24"/>
    <w:rsid w:val="001420CB"/>
    <w:rsid w:val="001423BE"/>
    <w:rsid w:val="00146653"/>
    <w:rsid w:val="001552C7"/>
    <w:rsid w:val="00163001"/>
    <w:rsid w:val="00164A3C"/>
    <w:rsid w:val="00172334"/>
    <w:rsid w:val="00175A64"/>
    <w:rsid w:val="00181AAF"/>
    <w:rsid w:val="00184FEB"/>
    <w:rsid w:val="00186AC9"/>
    <w:rsid w:val="001873FE"/>
    <w:rsid w:val="0019292E"/>
    <w:rsid w:val="001A46EB"/>
    <w:rsid w:val="001A60B3"/>
    <w:rsid w:val="001A79A1"/>
    <w:rsid w:val="001C5D03"/>
    <w:rsid w:val="001D5552"/>
    <w:rsid w:val="001D6F9C"/>
    <w:rsid w:val="001E44C5"/>
    <w:rsid w:val="001E5F54"/>
    <w:rsid w:val="001F7345"/>
    <w:rsid w:val="002122CB"/>
    <w:rsid w:val="0021297C"/>
    <w:rsid w:val="002147A8"/>
    <w:rsid w:val="00225BBE"/>
    <w:rsid w:val="00233257"/>
    <w:rsid w:val="00260A5B"/>
    <w:rsid w:val="00262522"/>
    <w:rsid w:val="00283CF6"/>
    <w:rsid w:val="00297F2C"/>
    <w:rsid w:val="002A09D1"/>
    <w:rsid w:val="002A47C0"/>
    <w:rsid w:val="002C20BF"/>
    <w:rsid w:val="002C2E02"/>
    <w:rsid w:val="002C361D"/>
    <w:rsid w:val="002E1B16"/>
    <w:rsid w:val="002E2A4B"/>
    <w:rsid w:val="002E2DD9"/>
    <w:rsid w:val="002F45BF"/>
    <w:rsid w:val="00303DFD"/>
    <w:rsid w:val="00304C95"/>
    <w:rsid w:val="00307343"/>
    <w:rsid w:val="00335A9F"/>
    <w:rsid w:val="00340466"/>
    <w:rsid w:val="00347FC9"/>
    <w:rsid w:val="0037108B"/>
    <w:rsid w:val="003726F5"/>
    <w:rsid w:val="00380925"/>
    <w:rsid w:val="00381811"/>
    <w:rsid w:val="00383205"/>
    <w:rsid w:val="00395590"/>
    <w:rsid w:val="003A3426"/>
    <w:rsid w:val="003A4B0A"/>
    <w:rsid w:val="003B0AC6"/>
    <w:rsid w:val="003D68B8"/>
    <w:rsid w:val="003E60A7"/>
    <w:rsid w:val="003F0099"/>
    <w:rsid w:val="00401B1B"/>
    <w:rsid w:val="00414B4B"/>
    <w:rsid w:val="00421029"/>
    <w:rsid w:val="00431999"/>
    <w:rsid w:val="004360FB"/>
    <w:rsid w:val="00436B17"/>
    <w:rsid w:val="004509FC"/>
    <w:rsid w:val="004530EC"/>
    <w:rsid w:val="00494722"/>
    <w:rsid w:val="004A463A"/>
    <w:rsid w:val="004A4809"/>
    <w:rsid w:val="004A6C6F"/>
    <w:rsid w:val="004A7D94"/>
    <w:rsid w:val="004B6270"/>
    <w:rsid w:val="004C0AC3"/>
    <w:rsid w:val="004C1429"/>
    <w:rsid w:val="004C665A"/>
    <w:rsid w:val="004D6C05"/>
    <w:rsid w:val="004E46D0"/>
    <w:rsid w:val="004F1FE4"/>
    <w:rsid w:val="00504660"/>
    <w:rsid w:val="005062B7"/>
    <w:rsid w:val="005065AB"/>
    <w:rsid w:val="00512461"/>
    <w:rsid w:val="00514809"/>
    <w:rsid w:val="0052204B"/>
    <w:rsid w:val="0052437A"/>
    <w:rsid w:val="005338E9"/>
    <w:rsid w:val="00534914"/>
    <w:rsid w:val="005418C8"/>
    <w:rsid w:val="00545616"/>
    <w:rsid w:val="00546D3C"/>
    <w:rsid w:val="00580706"/>
    <w:rsid w:val="00580DA0"/>
    <w:rsid w:val="00580FEC"/>
    <w:rsid w:val="00583008"/>
    <w:rsid w:val="00584CB3"/>
    <w:rsid w:val="00587FC8"/>
    <w:rsid w:val="00591A9C"/>
    <w:rsid w:val="005966BB"/>
    <w:rsid w:val="0059692F"/>
    <w:rsid w:val="00596AD8"/>
    <w:rsid w:val="00597D02"/>
    <w:rsid w:val="005B3C42"/>
    <w:rsid w:val="005C6A93"/>
    <w:rsid w:val="005C6E5D"/>
    <w:rsid w:val="005D1B5F"/>
    <w:rsid w:val="005D512C"/>
    <w:rsid w:val="005D60CE"/>
    <w:rsid w:val="005E0BF9"/>
    <w:rsid w:val="005F0EB3"/>
    <w:rsid w:val="005F25FA"/>
    <w:rsid w:val="005F3D4F"/>
    <w:rsid w:val="00610679"/>
    <w:rsid w:val="00616792"/>
    <w:rsid w:val="006169C4"/>
    <w:rsid w:val="00617792"/>
    <w:rsid w:val="00637808"/>
    <w:rsid w:val="0064482D"/>
    <w:rsid w:val="00647B66"/>
    <w:rsid w:val="00650909"/>
    <w:rsid w:val="006527A4"/>
    <w:rsid w:val="006779E7"/>
    <w:rsid w:val="00690E6E"/>
    <w:rsid w:val="006957F7"/>
    <w:rsid w:val="006A0656"/>
    <w:rsid w:val="006A46EC"/>
    <w:rsid w:val="006C0ECD"/>
    <w:rsid w:val="006D706E"/>
    <w:rsid w:val="006E5190"/>
    <w:rsid w:val="006E6D05"/>
    <w:rsid w:val="006F5E3C"/>
    <w:rsid w:val="007177AA"/>
    <w:rsid w:val="00725972"/>
    <w:rsid w:val="007278B8"/>
    <w:rsid w:val="007279DF"/>
    <w:rsid w:val="007306CB"/>
    <w:rsid w:val="00736FB1"/>
    <w:rsid w:val="007411A6"/>
    <w:rsid w:val="007617AF"/>
    <w:rsid w:val="00774BFD"/>
    <w:rsid w:val="007810EC"/>
    <w:rsid w:val="0079412F"/>
    <w:rsid w:val="00794AFF"/>
    <w:rsid w:val="007950BA"/>
    <w:rsid w:val="0079614D"/>
    <w:rsid w:val="007A442D"/>
    <w:rsid w:val="007B0CAD"/>
    <w:rsid w:val="007C1212"/>
    <w:rsid w:val="007C3E6A"/>
    <w:rsid w:val="007C79F3"/>
    <w:rsid w:val="007D1D8B"/>
    <w:rsid w:val="007D20B9"/>
    <w:rsid w:val="007D4346"/>
    <w:rsid w:val="007D44B6"/>
    <w:rsid w:val="007D55D0"/>
    <w:rsid w:val="007F2E90"/>
    <w:rsid w:val="007F4C7A"/>
    <w:rsid w:val="008019C3"/>
    <w:rsid w:val="00816B4E"/>
    <w:rsid w:val="00816C57"/>
    <w:rsid w:val="00841066"/>
    <w:rsid w:val="0085095A"/>
    <w:rsid w:val="00850F77"/>
    <w:rsid w:val="00851797"/>
    <w:rsid w:val="00853451"/>
    <w:rsid w:val="00853498"/>
    <w:rsid w:val="00853A12"/>
    <w:rsid w:val="0087087F"/>
    <w:rsid w:val="0087224E"/>
    <w:rsid w:val="00885BC1"/>
    <w:rsid w:val="0088719D"/>
    <w:rsid w:val="00890D8B"/>
    <w:rsid w:val="008A7E3F"/>
    <w:rsid w:val="008C6E9F"/>
    <w:rsid w:val="008D2DEE"/>
    <w:rsid w:val="008D63EE"/>
    <w:rsid w:val="008E0E11"/>
    <w:rsid w:val="008E2421"/>
    <w:rsid w:val="00900314"/>
    <w:rsid w:val="00911BDF"/>
    <w:rsid w:val="00914EE6"/>
    <w:rsid w:val="009238EF"/>
    <w:rsid w:val="009265E3"/>
    <w:rsid w:val="00926AEF"/>
    <w:rsid w:val="00951477"/>
    <w:rsid w:val="00953251"/>
    <w:rsid w:val="00955E6F"/>
    <w:rsid w:val="009578CC"/>
    <w:rsid w:val="00961B68"/>
    <w:rsid w:val="00961F35"/>
    <w:rsid w:val="0096710D"/>
    <w:rsid w:val="0097259C"/>
    <w:rsid w:val="00972A1E"/>
    <w:rsid w:val="0098772E"/>
    <w:rsid w:val="00987894"/>
    <w:rsid w:val="009945EB"/>
    <w:rsid w:val="009A2984"/>
    <w:rsid w:val="009A367F"/>
    <w:rsid w:val="009B3A42"/>
    <w:rsid w:val="009C16C0"/>
    <w:rsid w:val="009C1D04"/>
    <w:rsid w:val="009C2959"/>
    <w:rsid w:val="009C506D"/>
    <w:rsid w:val="009C5363"/>
    <w:rsid w:val="009C74D0"/>
    <w:rsid w:val="009D2E92"/>
    <w:rsid w:val="009D3875"/>
    <w:rsid w:val="009D3E0D"/>
    <w:rsid w:val="009D6052"/>
    <w:rsid w:val="009E68C2"/>
    <w:rsid w:val="009F21CD"/>
    <w:rsid w:val="00A0287B"/>
    <w:rsid w:val="00A04A32"/>
    <w:rsid w:val="00A14E9C"/>
    <w:rsid w:val="00A2426D"/>
    <w:rsid w:val="00A248E1"/>
    <w:rsid w:val="00A27CD3"/>
    <w:rsid w:val="00A4350C"/>
    <w:rsid w:val="00A63BAD"/>
    <w:rsid w:val="00A6485C"/>
    <w:rsid w:val="00A66202"/>
    <w:rsid w:val="00A665D0"/>
    <w:rsid w:val="00A707DB"/>
    <w:rsid w:val="00A72DDC"/>
    <w:rsid w:val="00A77407"/>
    <w:rsid w:val="00A8138A"/>
    <w:rsid w:val="00A87527"/>
    <w:rsid w:val="00A96CBC"/>
    <w:rsid w:val="00AC0CE7"/>
    <w:rsid w:val="00AD1DAD"/>
    <w:rsid w:val="00B206BD"/>
    <w:rsid w:val="00B37003"/>
    <w:rsid w:val="00B55738"/>
    <w:rsid w:val="00B615F6"/>
    <w:rsid w:val="00B652CB"/>
    <w:rsid w:val="00B75BFA"/>
    <w:rsid w:val="00B76C76"/>
    <w:rsid w:val="00B77BE8"/>
    <w:rsid w:val="00B83294"/>
    <w:rsid w:val="00B84AC3"/>
    <w:rsid w:val="00B87C0D"/>
    <w:rsid w:val="00B9413B"/>
    <w:rsid w:val="00BB140C"/>
    <w:rsid w:val="00BB24C7"/>
    <w:rsid w:val="00BB4AFC"/>
    <w:rsid w:val="00BC166D"/>
    <w:rsid w:val="00BC5511"/>
    <w:rsid w:val="00BC5AB5"/>
    <w:rsid w:val="00BE1D95"/>
    <w:rsid w:val="00BE6FB0"/>
    <w:rsid w:val="00BF3401"/>
    <w:rsid w:val="00C10980"/>
    <w:rsid w:val="00C25987"/>
    <w:rsid w:val="00C40C1F"/>
    <w:rsid w:val="00C41ACE"/>
    <w:rsid w:val="00C470A5"/>
    <w:rsid w:val="00C65028"/>
    <w:rsid w:val="00C72844"/>
    <w:rsid w:val="00C7634F"/>
    <w:rsid w:val="00C83A94"/>
    <w:rsid w:val="00C85FB7"/>
    <w:rsid w:val="00C924D8"/>
    <w:rsid w:val="00C9271F"/>
    <w:rsid w:val="00C9700B"/>
    <w:rsid w:val="00CA464C"/>
    <w:rsid w:val="00CD0B60"/>
    <w:rsid w:val="00CE26B8"/>
    <w:rsid w:val="00CE366F"/>
    <w:rsid w:val="00CE465B"/>
    <w:rsid w:val="00CF6958"/>
    <w:rsid w:val="00D0552F"/>
    <w:rsid w:val="00D07CA2"/>
    <w:rsid w:val="00D11DBD"/>
    <w:rsid w:val="00D12D24"/>
    <w:rsid w:val="00D17139"/>
    <w:rsid w:val="00D17539"/>
    <w:rsid w:val="00D26E7C"/>
    <w:rsid w:val="00D337B6"/>
    <w:rsid w:val="00D41022"/>
    <w:rsid w:val="00D42543"/>
    <w:rsid w:val="00D478FB"/>
    <w:rsid w:val="00D47C63"/>
    <w:rsid w:val="00D655FC"/>
    <w:rsid w:val="00D665B9"/>
    <w:rsid w:val="00D7519A"/>
    <w:rsid w:val="00D83F35"/>
    <w:rsid w:val="00D84EB1"/>
    <w:rsid w:val="00D92703"/>
    <w:rsid w:val="00DD77D9"/>
    <w:rsid w:val="00DE25F3"/>
    <w:rsid w:val="00DF261F"/>
    <w:rsid w:val="00E0589F"/>
    <w:rsid w:val="00E117B2"/>
    <w:rsid w:val="00E31384"/>
    <w:rsid w:val="00E406A7"/>
    <w:rsid w:val="00E43B86"/>
    <w:rsid w:val="00E44F6C"/>
    <w:rsid w:val="00E47674"/>
    <w:rsid w:val="00E47A92"/>
    <w:rsid w:val="00E5111F"/>
    <w:rsid w:val="00E550D1"/>
    <w:rsid w:val="00E635B9"/>
    <w:rsid w:val="00E6419B"/>
    <w:rsid w:val="00E77E56"/>
    <w:rsid w:val="00E8091B"/>
    <w:rsid w:val="00E92C24"/>
    <w:rsid w:val="00EA69F6"/>
    <w:rsid w:val="00EB3DAE"/>
    <w:rsid w:val="00EC2DC7"/>
    <w:rsid w:val="00EE6C8E"/>
    <w:rsid w:val="00EF6766"/>
    <w:rsid w:val="00F01E5A"/>
    <w:rsid w:val="00F04CE3"/>
    <w:rsid w:val="00F05DF7"/>
    <w:rsid w:val="00F33B9E"/>
    <w:rsid w:val="00F36E02"/>
    <w:rsid w:val="00F43E51"/>
    <w:rsid w:val="00F4626E"/>
    <w:rsid w:val="00F57D9B"/>
    <w:rsid w:val="00F63D9F"/>
    <w:rsid w:val="00F66052"/>
    <w:rsid w:val="00F7023D"/>
    <w:rsid w:val="00F91673"/>
    <w:rsid w:val="00F95083"/>
    <w:rsid w:val="00F96723"/>
    <w:rsid w:val="00FA0C65"/>
    <w:rsid w:val="00FA7157"/>
    <w:rsid w:val="00FA7DFD"/>
    <w:rsid w:val="00FB2048"/>
    <w:rsid w:val="00FB4D0F"/>
    <w:rsid w:val="00FB66C9"/>
    <w:rsid w:val="00FC0EF8"/>
    <w:rsid w:val="00FC3FDC"/>
    <w:rsid w:val="00FD3FD1"/>
    <w:rsid w:val="00FE267F"/>
    <w:rsid w:val="00FE70B4"/>
    <w:rsid w:val="00FE73ED"/>
    <w:rsid w:val="00FF0560"/>
    <w:rsid w:val="00FF071B"/>
    <w:rsid w:val="01562040"/>
    <w:rsid w:val="0535BF15"/>
    <w:rsid w:val="082D6B36"/>
    <w:rsid w:val="0CF9D524"/>
    <w:rsid w:val="11621F8E"/>
    <w:rsid w:val="1556AFC0"/>
    <w:rsid w:val="16B87641"/>
    <w:rsid w:val="17AE7257"/>
    <w:rsid w:val="22A24EC1"/>
    <w:rsid w:val="28C96090"/>
    <w:rsid w:val="2AF9EBA3"/>
    <w:rsid w:val="2DD2CA85"/>
    <w:rsid w:val="3C16DCB7"/>
    <w:rsid w:val="401D5083"/>
    <w:rsid w:val="4041B187"/>
    <w:rsid w:val="40FD566A"/>
    <w:rsid w:val="4231E075"/>
    <w:rsid w:val="4240ECB8"/>
    <w:rsid w:val="42789F3A"/>
    <w:rsid w:val="4E51EBFB"/>
    <w:rsid w:val="4F5E77BD"/>
    <w:rsid w:val="533375B0"/>
    <w:rsid w:val="5414EF33"/>
    <w:rsid w:val="5A99CC88"/>
    <w:rsid w:val="5B430335"/>
    <w:rsid w:val="5DE59694"/>
    <w:rsid w:val="5E67E051"/>
    <w:rsid w:val="5FA6A304"/>
    <w:rsid w:val="675ED2AF"/>
    <w:rsid w:val="6B0A3588"/>
    <w:rsid w:val="6C05788C"/>
    <w:rsid w:val="6F1E0445"/>
    <w:rsid w:val="6FA618E8"/>
    <w:rsid w:val="774472C5"/>
    <w:rsid w:val="7BF8B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124A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C9"/>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4DA3AB"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262522"/>
    <w:pPr>
      <w:numPr>
        <w:numId w:val="2"/>
      </w:numPr>
      <w:spacing w:before="80"/>
      <w:ind w:left="568" w:hanging="284"/>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F04CE3"/>
    <w:pPr>
      <w:spacing w:before="6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F04CE3"/>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customStyle="1" w:styleId="Documenttitle">
    <w:name w:val="Document title"/>
    <w:basedOn w:val="Normal"/>
    <w:qFormat/>
    <w:rsid w:val="005F25FA"/>
    <w:pPr>
      <w:spacing w:before="3900" w:line="240" w:lineRule="auto"/>
    </w:pPr>
    <w:rPr>
      <w:rFonts w:asciiTheme="majorHAnsi" w:hAnsiTheme="majorHAnsi" w:cs="Times New Roman (Body CS)"/>
      <w:b/>
      <w:noProof/>
      <w:sz w:val="68"/>
    </w:rPr>
  </w:style>
  <w:style w:type="character" w:customStyle="1" w:styleId="UnresolvedMention2">
    <w:name w:val="Unresolved Mention2"/>
    <w:basedOn w:val="DefaultParagraphFont"/>
    <w:uiPriority w:val="99"/>
    <w:semiHidden/>
    <w:unhideWhenUsed/>
    <w:rsid w:val="005F25FA"/>
    <w:rPr>
      <w:color w:val="605E5C"/>
      <w:shd w:val="clear" w:color="auto" w:fill="E1DFDD"/>
    </w:rPr>
  </w:style>
  <w:style w:type="paragraph" w:customStyle="1" w:styleId="TablebulletsforQRG">
    <w:name w:val="Table bullets for QRG"/>
    <w:basedOn w:val="Normal"/>
    <w:qFormat/>
    <w:rsid w:val="00057A28"/>
    <w:pPr>
      <w:numPr>
        <w:numId w:val="8"/>
      </w:numPr>
      <w:spacing w:before="60" w:after="60" w:line="260" w:lineRule="exact"/>
    </w:pPr>
    <w:rPr>
      <w:rFonts w:ascii="Arial" w:eastAsia="Times New Roman" w:hAnsi="Arial" w:cs="Arial"/>
      <w:color w:val="auto"/>
      <w:szCs w:val="20"/>
      <w:lang w:eastAsia="en-GB"/>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13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84"/>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5B3C42"/>
    <w:rPr>
      <w:b/>
      <w:bCs/>
    </w:rPr>
  </w:style>
  <w:style w:type="character" w:customStyle="1" w:styleId="CommentSubjectChar">
    <w:name w:val="Comment Subject Char"/>
    <w:basedOn w:val="CommentTextChar"/>
    <w:link w:val="CommentSubject"/>
    <w:uiPriority w:val="99"/>
    <w:semiHidden/>
    <w:rsid w:val="005B3C42"/>
    <w:rPr>
      <w:b/>
      <w:bCs/>
      <w:color w:val="000000" w:themeColor="text1"/>
      <w:sz w:val="20"/>
      <w:szCs w:val="20"/>
    </w:rPr>
  </w:style>
  <w:style w:type="paragraph" w:styleId="ListParagraph">
    <w:name w:val="List Paragraph"/>
    <w:basedOn w:val="Normal"/>
    <w:uiPriority w:val="34"/>
    <w:unhideWhenUsed/>
    <w:qFormat/>
    <w:rsid w:val="0017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08">
      <w:bodyDiv w:val="1"/>
      <w:marLeft w:val="0"/>
      <w:marRight w:val="0"/>
      <w:marTop w:val="0"/>
      <w:marBottom w:val="0"/>
      <w:divBdr>
        <w:top w:val="none" w:sz="0" w:space="0" w:color="auto"/>
        <w:left w:val="none" w:sz="0" w:space="0" w:color="auto"/>
        <w:bottom w:val="none" w:sz="0" w:space="0" w:color="auto"/>
        <w:right w:val="none" w:sz="0" w:space="0" w:color="auto"/>
      </w:divBdr>
      <w:divsChild>
        <w:div w:id="436293234">
          <w:marLeft w:val="274"/>
          <w:marRight w:val="0"/>
          <w:marTop w:val="0"/>
          <w:marBottom w:val="0"/>
          <w:divBdr>
            <w:top w:val="none" w:sz="0" w:space="0" w:color="auto"/>
            <w:left w:val="none" w:sz="0" w:space="0" w:color="auto"/>
            <w:bottom w:val="none" w:sz="0" w:space="0" w:color="auto"/>
            <w:right w:val="none" w:sz="0" w:space="0" w:color="auto"/>
          </w:divBdr>
        </w:div>
      </w:divsChild>
    </w:div>
    <w:div w:id="13312829">
      <w:bodyDiv w:val="1"/>
      <w:marLeft w:val="0"/>
      <w:marRight w:val="0"/>
      <w:marTop w:val="0"/>
      <w:marBottom w:val="0"/>
      <w:divBdr>
        <w:top w:val="none" w:sz="0" w:space="0" w:color="auto"/>
        <w:left w:val="none" w:sz="0" w:space="0" w:color="auto"/>
        <w:bottom w:val="none" w:sz="0" w:space="0" w:color="auto"/>
        <w:right w:val="none" w:sz="0" w:space="0" w:color="auto"/>
      </w:divBdr>
    </w:div>
    <w:div w:id="53166982">
      <w:bodyDiv w:val="1"/>
      <w:marLeft w:val="0"/>
      <w:marRight w:val="0"/>
      <w:marTop w:val="0"/>
      <w:marBottom w:val="0"/>
      <w:divBdr>
        <w:top w:val="none" w:sz="0" w:space="0" w:color="auto"/>
        <w:left w:val="none" w:sz="0" w:space="0" w:color="auto"/>
        <w:bottom w:val="none" w:sz="0" w:space="0" w:color="auto"/>
        <w:right w:val="none" w:sz="0" w:space="0" w:color="auto"/>
      </w:divBdr>
    </w:div>
    <w:div w:id="55126631">
      <w:bodyDiv w:val="1"/>
      <w:marLeft w:val="0"/>
      <w:marRight w:val="0"/>
      <w:marTop w:val="0"/>
      <w:marBottom w:val="0"/>
      <w:divBdr>
        <w:top w:val="none" w:sz="0" w:space="0" w:color="auto"/>
        <w:left w:val="none" w:sz="0" w:space="0" w:color="auto"/>
        <w:bottom w:val="none" w:sz="0" w:space="0" w:color="auto"/>
        <w:right w:val="none" w:sz="0" w:space="0" w:color="auto"/>
      </w:divBdr>
    </w:div>
    <w:div w:id="94054583">
      <w:bodyDiv w:val="1"/>
      <w:marLeft w:val="0"/>
      <w:marRight w:val="0"/>
      <w:marTop w:val="0"/>
      <w:marBottom w:val="0"/>
      <w:divBdr>
        <w:top w:val="none" w:sz="0" w:space="0" w:color="auto"/>
        <w:left w:val="none" w:sz="0" w:space="0" w:color="auto"/>
        <w:bottom w:val="none" w:sz="0" w:space="0" w:color="auto"/>
        <w:right w:val="none" w:sz="0" w:space="0" w:color="auto"/>
      </w:divBdr>
    </w:div>
    <w:div w:id="100994144">
      <w:bodyDiv w:val="1"/>
      <w:marLeft w:val="0"/>
      <w:marRight w:val="0"/>
      <w:marTop w:val="0"/>
      <w:marBottom w:val="0"/>
      <w:divBdr>
        <w:top w:val="none" w:sz="0" w:space="0" w:color="auto"/>
        <w:left w:val="none" w:sz="0" w:space="0" w:color="auto"/>
        <w:bottom w:val="none" w:sz="0" w:space="0" w:color="auto"/>
        <w:right w:val="none" w:sz="0" w:space="0" w:color="auto"/>
      </w:divBdr>
    </w:div>
    <w:div w:id="115225521">
      <w:bodyDiv w:val="1"/>
      <w:marLeft w:val="0"/>
      <w:marRight w:val="0"/>
      <w:marTop w:val="0"/>
      <w:marBottom w:val="0"/>
      <w:divBdr>
        <w:top w:val="none" w:sz="0" w:space="0" w:color="auto"/>
        <w:left w:val="none" w:sz="0" w:space="0" w:color="auto"/>
        <w:bottom w:val="none" w:sz="0" w:space="0" w:color="auto"/>
        <w:right w:val="none" w:sz="0" w:space="0" w:color="auto"/>
      </w:divBdr>
    </w:div>
    <w:div w:id="1498357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369">
          <w:marLeft w:val="274"/>
          <w:marRight w:val="0"/>
          <w:marTop w:val="0"/>
          <w:marBottom w:val="0"/>
          <w:divBdr>
            <w:top w:val="none" w:sz="0" w:space="0" w:color="auto"/>
            <w:left w:val="none" w:sz="0" w:space="0" w:color="auto"/>
            <w:bottom w:val="none" w:sz="0" w:space="0" w:color="auto"/>
            <w:right w:val="none" w:sz="0" w:space="0" w:color="auto"/>
          </w:divBdr>
        </w:div>
      </w:divsChild>
    </w:div>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160707166">
      <w:bodyDiv w:val="1"/>
      <w:marLeft w:val="0"/>
      <w:marRight w:val="0"/>
      <w:marTop w:val="0"/>
      <w:marBottom w:val="0"/>
      <w:divBdr>
        <w:top w:val="none" w:sz="0" w:space="0" w:color="auto"/>
        <w:left w:val="none" w:sz="0" w:space="0" w:color="auto"/>
        <w:bottom w:val="none" w:sz="0" w:space="0" w:color="auto"/>
        <w:right w:val="none" w:sz="0" w:space="0" w:color="auto"/>
      </w:divBdr>
    </w:div>
    <w:div w:id="168374921">
      <w:bodyDiv w:val="1"/>
      <w:marLeft w:val="0"/>
      <w:marRight w:val="0"/>
      <w:marTop w:val="0"/>
      <w:marBottom w:val="0"/>
      <w:divBdr>
        <w:top w:val="none" w:sz="0" w:space="0" w:color="auto"/>
        <w:left w:val="none" w:sz="0" w:space="0" w:color="auto"/>
        <w:bottom w:val="none" w:sz="0" w:space="0" w:color="auto"/>
        <w:right w:val="none" w:sz="0" w:space="0" w:color="auto"/>
      </w:divBdr>
    </w:div>
    <w:div w:id="182979630">
      <w:bodyDiv w:val="1"/>
      <w:marLeft w:val="0"/>
      <w:marRight w:val="0"/>
      <w:marTop w:val="0"/>
      <w:marBottom w:val="0"/>
      <w:divBdr>
        <w:top w:val="none" w:sz="0" w:space="0" w:color="auto"/>
        <w:left w:val="none" w:sz="0" w:space="0" w:color="auto"/>
        <w:bottom w:val="none" w:sz="0" w:space="0" w:color="auto"/>
        <w:right w:val="none" w:sz="0" w:space="0" w:color="auto"/>
      </w:divBdr>
      <w:divsChild>
        <w:div w:id="1353532758">
          <w:marLeft w:val="274"/>
          <w:marRight w:val="0"/>
          <w:marTop w:val="0"/>
          <w:marBottom w:val="0"/>
          <w:divBdr>
            <w:top w:val="none" w:sz="0" w:space="0" w:color="auto"/>
            <w:left w:val="none" w:sz="0" w:space="0" w:color="auto"/>
            <w:bottom w:val="none" w:sz="0" w:space="0" w:color="auto"/>
            <w:right w:val="none" w:sz="0" w:space="0" w:color="auto"/>
          </w:divBdr>
        </w:div>
      </w:divsChild>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228735051">
      <w:bodyDiv w:val="1"/>
      <w:marLeft w:val="0"/>
      <w:marRight w:val="0"/>
      <w:marTop w:val="0"/>
      <w:marBottom w:val="0"/>
      <w:divBdr>
        <w:top w:val="none" w:sz="0" w:space="0" w:color="auto"/>
        <w:left w:val="none" w:sz="0" w:space="0" w:color="auto"/>
        <w:bottom w:val="none" w:sz="0" w:space="0" w:color="auto"/>
        <w:right w:val="none" w:sz="0" w:space="0" w:color="auto"/>
      </w:divBdr>
    </w:div>
    <w:div w:id="252125579">
      <w:bodyDiv w:val="1"/>
      <w:marLeft w:val="0"/>
      <w:marRight w:val="0"/>
      <w:marTop w:val="0"/>
      <w:marBottom w:val="0"/>
      <w:divBdr>
        <w:top w:val="none" w:sz="0" w:space="0" w:color="auto"/>
        <w:left w:val="none" w:sz="0" w:space="0" w:color="auto"/>
        <w:bottom w:val="none" w:sz="0" w:space="0" w:color="auto"/>
        <w:right w:val="none" w:sz="0" w:space="0" w:color="auto"/>
      </w:divBdr>
    </w:div>
    <w:div w:id="266625349">
      <w:bodyDiv w:val="1"/>
      <w:marLeft w:val="0"/>
      <w:marRight w:val="0"/>
      <w:marTop w:val="0"/>
      <w:marBottom w:val="0"/>
      <w:divBdr>
        <w:top w:val="none" w:sz="0" w:space="0" w:color="auto"/>
        <w:left w:val="none" w:sz="0" w:space="0" w:color="auto"/>
        <w:bottom w:val="none" w:sz="0" w:space="0" w:color="auto"/>
        <w:right w:val="none" w:sz="0" w:space="0" w:color="auto"/>
      </w:divBdr>
      <w:divsChild>
        <w:div w:id="777337180">
          <w:marLeft w:val="274"/>
          <w:marRight w:val="0"/>
          <w:marTop w:val="0"/>
          <w:marBottom w:val="0"/>
          <w:divBdr>
            <w:top w:val="none" w:sz="0" w:space="0" w:color="auto"/>
            <w:left w:val="none" w:sz="0" w:space="0" w:color="auto"/>
            <w:bottom w:val="none" w:sz="0" w:space="0" w:color="auto"/>
            <w:right w:val="none" w:sz="0" w:space="0" w:color="auto"/>
          </w:divBdr>
        </w:div>
      </w:divsChild>
    </w:div>
    <w:div w:id="268202033">
      <w:bodyDiv w:val="1"/>
      <w:marLeft w:val="0"/>
      <w:marRight w:val="0"/>
      <w:marTop w:val="0"/>
      <w:marBottom w:val="0"/>
      <w:divBdr>
        <w:top w:val="none" w:sz="0" w:space="0" w:color="auto"/>
        <w:left w:val="none" w:sz="0" w:space="0" w:color="auto"/>
        <w:bottom w:val="none" w:sz="0" w:space="0" w:color="auto"/>
        <w:right w:val="none" w:sz="0" w:space="0" w:color="auto"/>
      </w:divBdr>
    </w:div>
    <w:div w:id="296420971">
      <w:bodyDiv w:val="1"/>
      <w:marLeft w:val="0"/>
      <w:marRight w:val="0"/>
      <w:marTop w:val="0"/>
      <w:marBottom w:val="0"/>
      <w:divBdr>
        <w:top w:val="none" w:sz="0" w:space="0" w:color="auto"/>
        <w:left w:val="none" w:sz="0" w:space="0" w:color="auto"/>
        <w:bottom w:val="none" w:sz="0" w:space="0" w:color="auto"/>
        <w:right w:val="none" w:sz="0" w:space="0" w:color="auto"/>
      </w:divBdr>
    </w:div>
    <w:div w:id="356321544">
      <w:bodyDiv w:val="1"/>
      <w:marLeft w:val="0"/>
      <w:marRight w:val="0"/>
      <w:marTop w:val="0"/>
      <w:marBottom w:val="0"/>
      <w:divBdr>
        <w:top w:val="none" w:sz="0" w:space="0" w:color="auto"/>
        <w:left w:val="none" w:sz="0" w:space="0" w:color="auto"/>
        <w:bottom w:val="none" w:sz="0" w:space="0" w:color="auto"/>
        <w:right w:val="none" w:sz="0" w:space="0" w:color="auto"/>
      </w:divBdr>
    </w:div>
    <w:div w:id="387654764">
      <w:bodyDiv w:val="1"/>
      <w:marLeft w:val="0"/>
      <w:marRight w:val="0"/>
      <w:marTop w:val="0"/>
      <w:marBottom w:val="0"/>
      <w:divBdr>
        <w:top w:val="none" w:sz="0" w:space="0" w:color="auto"/>
        <w:left w:val="none" w:sz="0" w:space="0" w:color="auto"/>
        <w:bottom w:val="none" w:sz="0" w:space="0" w:color="auto"/>
        <w:right w:val="none" w:sz="0" w:space="0" w:color="auto"/>
      </w:divBdr>
    </w:div>
    <w:div w:id="426266300">
      <w:bodyDiv w:val="1"/>
      <w:marLeft w:val="0"/>
      <w:marRight w:val="0"/>
      <w:marTop w:val="0"/>
      <w:marBottom w:val="0"/>
      <w:divBdr>
        <w:top w:val="none" w:sz="0" w:space="0" w:color="auto"/>
        <w:left w:val="none" w:sz="0" w:space="0" w:color="auto"/>
        <w:bottom w:val="none" w:sz="0" w:space="0" w:color="auto"/>
        <w:right w:val="none" w:sz="0" w:space="0" w:color="auto"/>
      </w:divBdr>
    </w:div>
    <w:div w:id="429590959">
      <w:bodyDiv w:val="1"/>
      <w:marLeft w:val="0"/>
      <w:marRight w:val="0"/>
      <w:marTop w:val="0"/>
      <w:marBottom w:val="0"/>
      <w:divBdr>
        <w:top w:val="none" w:sz="0" w:space="0" w:color="auto"/>
        <w:left w:val="none" w:sz="0" w:space="0" w:color="auto"/>
        <w:bottom w:val="none" w:sz="0" w:space="0" w:color="auto"/>
        <w:right w:val="none" w:sz="0" w:space="0" w:color="auto"/>
      </w:divBdr>
      <w:divsChild>
        <w:div w:id="473179340">
          <w:marLeft w:val="274"/>
          <w:marRight w:val="0"/>
          <w:marTop w:val="0"/>
          <w:marBottom w:val="0"/>
          <w:divBdr>
            <w:top w:val="none" w:sz="0" w:space="0" w:color="auto"/>
            <w:left w:val="none" w:sz="0" w:space="0" w:color="auto"/>
            <w:bottom w:val="none" w:sz="0" w:space="0" w:color="auto"/>
            <w:right w:val="none" w:sz="0" w:space="0" w:color="auto"/>
          </w:divBdr>
        </w:div>
        <w:div w:id="501090969">
          <w:marLeft w:val="274"/>
          <w:marRight w:val="0"/>
          <w:marTop w:val="0"/>
          <w:marBottom w:val="0"/>
          <w:divBdr>
            <w:top w:val="none" w:sz="0" w:space="0" w:color="auto"/>
            <w:left w:val="none" w:sz="0" w:space="0" w:color="auto"/>
            <w:bottom w:val="none" w:sz="0" w:space="0" w:color="auto"/>
            <w:right w:val="none" w:sz="0" w:space="0" w:color="auto"/>
          </w:divBdr>
        </w:div>
      </w:divsChild>
    </w:div>
    <w:div w:id="441266832">
      <w:bodyDiv w:val="1"/>
      <w:marLeft w:val="0"/>
      <w:marRight w:val="0"/>
      <w:marTop w:val="0"/>
      <w:marBottom w:val="0"/>
      <w:divBdr>
        <w:top w:val="none" w:sz="0" w:space="0" w:color="auto"/>
        <w:left w:val="none" w:sz="0" w:space="0" w:color="auto"/>
        <w:bottom w:val="none" w:sz="0" w:space="0" w:color="auto"/>
        <w:right w:val="none" w:sz="0" w:space="0" w:color="auto"/>
      </w:divBdr>
    </w:div>
    <w:div w:id="464658220">
      <w:bodyDiv w:val="1"/>
      <w:marLeft w:val="0"/>
      <w:marRight w:val="0"/>
      <w:marTop w:val="0"/>
      <w:marBottom w:val="0"/>
      <w:divBdr>
        <w:top w:val="none" w:sz="0" w:space="0" w:color="auto"/>
        <w:left w:val="none" w:sz="0" w:space="0" w:color="auto"/>
        <w:bottom w:val="none" w:sz="0" w:space="0" w:color="auto"/>
        <w:right w:val="none" w:sz="0" w:space="0" w:color="auto"/>
      </w:divBdr>
      <w:divsChild>
        <w:div w:id="1271548877">
          <w:marLeft w:val="274"/>
          <w:marRight w:val="0"/>
          <w:marTop w:val="0"/>
          <w:marBottom w:val="0"/>
          <w:divBdr>
            <w:top w:val="none" w:sz="0" w:space="0" w:color="auto"/>
            <w:left w:val="none" w:sz="0" w:space="0" w:color="auto"/>
            <w:bottom w:val="none" w:sz="0" w:space="0" w:color="auto"/>
            <w:right w:val="none" w:sz="0" w:space="0" w:color="auto"/>
          </w:divBdr>
        </w:div>
      </w:divsChild>
    </w:div>
    <w:div w:id="495848506">
      <w:bodyDiv w:val="1"/>
      <w:marLeft w:val="0"/>
      <w:marRight w:val="0"/>
      <w:marTop w:val="0"/>
      <w:marBottom w:val="0"/>
      <w:divBdr>
        <w:top w:val="none" w:sz="0" w:space="0" w:color="auto"/>
        <w:left w:val="none" w:sz="0" w:space="0" w:color="auto"/>
        <w:bottom w:val="none" w:sz="0" w:space="0" w:color="auto"/>
        <w:right w:val="none" w:sz="0" w:space="0" w:color="auto"/>
      </w:divBdr>
    </w:div>
    <w:div w:id="539635080">
      <w:bodyDiv w:val="1"/>
      <w:marLeft w:val="0"/>
      <w:marRight w:val="0"/>
      <w:marTop w:val="0"/>
      <w:marBottom w:val="0"/>
      <w:divBdr>
        <w:top w:val="none" w:sz="0" w:space="0" w:color="auto"/>
        <w:left w:val="none" w:sz="0" w:space="0" w:color="auto"/>
        <w:bottom w:val="none" w:sz="0" w:space="0" w:color="auto"/>
        <w:right w:val="none" w:sz="0" w:space="0" w:color="auto"/>
      </w:divBdr>
      <w:divsChild>
        <w:div w:id="1707565394">
          <w:marLeft w:val="274"/>
          <w:marRight w:val="0"/>
          <w:marTop w:val="0"/>
          <w:marBottom w:val="0"/>
          <w:divBdr>
            <w:top w:val="none" w:sz="0" w:space="0" w:color="auto"/>
            <w:left w:val="none" w:sz="0" w:space="0" w:color="auto"/>
            <w:bottom w:val="none" w:sz="0" w:space="0" w:color="auto"/>
            <w:right w:val="none" w:sz="0" w:space="0" w:color="auto"/>
          </w:divBdr>
        </w:div>
      </w:divsChild>
    </w:div>
    <w:div w:id="541790625">
      <w:bodyDiv w:val="1"/>
      <w:marLeft w:val="0"/>
      <w:marRight w:val="0"/>
      <w:marTop w:val="0"/>
      <w:marBottom w:val="0"/>
      <w:divBdr>
        <w:top w:val="none" w:sz="0" w:space="0" w:color="auto"/>
        <w:left w:val="none" w:sz="0" w:space="0" w:color="auto"/>
        <w:bottom w:val="none" w:sz="0" w:space="0" w:color="auto"/>
        <w:right w:val="none" w:sz="0" w:space="0" w:color="auto"/>
      </w:divBdr>
    </w:div>
    <w:div w:id="572736218">
      <w:bodyDiv w:val="1"/>
      <w:marLeft w:val="0"/>
      <w:marRight w:val="0"/>
      <w:marTop w:val="0"/>
      <w:marBottom w:val="0"/>
      <w:divBdr>
        <w:top w:val="none" w:sz="0" w:space="0" w:color="auto"/>
        <w:left w:val="none" w:sz="0" w:space="0" w:color="auto"/>
        <w:bottom w:val="none" w:sz="0" w:space="0" w:color="auto"/>
        <w:right w:val="none" w:sz="0" w:space="0" w:color="auto"/>
      </w:divBdr>
    </w:div>
    <w:div w:id="588388138">
      <w:bodyDiv w:val="1"/>
      <w:marLeft w:val="0"/>
      <w:marRight w:val="0"/>
      <w:marTop w:val="0"/>
      <w:marBottom w:val="0"/>
      <w:divBdr>
        <w:top w:val="none" w:sz="0" w:space="0" w:color="auto"/>
        <w:left w:val="none" w:sz="0" w:space="0" w:color="auto"/>
        <w:bottom w:val="none" w:sz="0" w:space="0" w:color="auto"/>
        <w:right w:val="none" w:sz="0" w:space="0" w:color="auto"/>
      </w:divBdr>
    </w:div>
    <w:div w:id="643317902">
      <w:bodyDiv w:val="1"/>
      <w:marLeft w:val="0"/>
      <w:marRight w:val="0"/>
      <w:marTop w:val="0"/>
      <w:marBottom w:val="0"/>
      <w:divBdr>
        <w:top w:val="none" w:sz="0" w:space="0" w:color="auto"/>
        <w:left w:val="none" w:sz="0" w:space="0" w:color="auto"/>
        <w:bottom w:val="none" w:sz="0" w:space="0" w:color="auto"/>
        <w:right w:val="none" w:sz="0" w:space="0" w:color="auto"/>
      </w:divBdr>
    </w:div>
    <w:div w:id="660549202">
      <w:bodyDiv w:val="1"/>
      <w:marLeft w:val="0"/>
      <w:marRight w:val="0"/>
      <w:marTop w:val="0"/>
      <w:marBottom w:val="0"/>
      <w:divBdr>
        <w:top w:val="none" w:sz="0" w:space="0" w:color="auto"/>
        <w:left w:val="none" w:sz="0" w:space="0" w:color="auto"/>
        <w:bottom w:val="none" w:sz="0" w:space="0" w:color="auto"/>
        <w:right w:val="none" w:sz="0" w:space="0" w:color="auto"/>
      </w:divBdr>
    </w:div>
    <w:div w:id="677537421">
      <w:bodyDiv w:val="1"/>
      <w:marLeft w:val="0"/>
      <w:marRight w:val="0"/>
      <w:marTop w:val="0"/>
      <w:marBottom w:val="0"/>
      <w:divBdr>
        <w:top w:val="none" w:sz="0" w:space="0" w:color="auto"/>
        <w:left w:val="none" w:sz="0" w:space="0" w:color="auto"/>
        <w:bottom w:val="none" w:sz="0" w:space="0" w:color="auto"/>
        <w:right w:val="none" w:sz="0" w:space="0" w:color="auto"/>
      </w:divBdr>
      <w:divsChild>
        <w:div w:id="1749690581">
          <w:marLeft w:val="274"/>
          <w:marRight w:val="0"/>
          <w:marTop w:val="0"/>
          <w:marBottom w:val="0"/>
          <w:divBdr>
            <w:top w:val="none" w:sz="0" w:space="0" w:color="auto"/>
            <w:left w:val="none" w:sz="0" w:space="0" w:color="auto"/>
            <w:bottom w:val="none" w:sz="0" w:space="0" w:color="auto"/>
            <w:right w:val="none" w:sz="0" w:space="0" w:color="auto"/>
          </w:divBdr>
        </w:div>
        <w:div w:id="1698652358">
          <w:marLeft w:val="274"/>
          <w:marRight w:val="0"/>
          <w:marTop w:val="0"/>
          <w:marBottom w:val="0"/>
          <w:divBdr>
            <w:top w:val="none" w:sz="0" w:space="0" w:color="auto"/>
            <w:left w:val="none" w:sz="0" w:space="0" w:color="auto"/>
            <w:bottom w:val="none" w:sz="0" w:space="0" w:color="auto"/>
            <w:right w:val="none" w:sz="0" w:space="0" w:color="auto"/>
          </w:divBdr>
        </w:div>
      </w:divsChild>
    </w:div>
    <w:div w:id="680819228">
      <w:bodyDiv w:val="1"/>
      <w:marLeft w:val="0"/>
      <w:marRight w:val="0"/>
      <w:marTop w:val="0"/>
      <w:marBottom w:val="0"/>
      <w:divBdr>
        <w:top w:val="none" w:sz="0" w:space="0" w:color="auto"/>
        <w:left w:val="none" w:sz="0" w:space="0" w:color="auto"/>
        <w:bottom w:val="none" w:sz="0" w:space="0" w:color="auto"/>
        <w:right w:val="none" w:sz="0" w:space="0" w:color="auto"/>
      </w:divBdr>
    </w:div>
    <w:div w:id="681247401">
      <w:bodyDiv w:val="1"/>
      <w:marLeft w:val="0"/>
      <w:marRight w:val="0"/>
      <w:marTop w:val="0"/>
      <w:marBottom w:val="0"/>
      <w:divBdr>
        <w:top w:val="none" w:sz="0" w:space="0" w:color="auto"/>
        <w:left w:val="none" w:sz="0" w:space="0" w:color="auto"/>
        <w:bottom w:val="none" w:sz="0" w:space="0" w:color="auto"/>
        <w:right w:val="none" w:sz="0" w:space="0" w:color="auto"/>
      </w:divBdr>
      <w:divsChild>
        <w:div w:id="1017655958">
          <w:marLeft w:val="274"/>
          <w:marRight w:val="0"/>
          <w:marTop w:val="0"/>
          <w:marBottom w:val="0"/>
          <w:divBdr>
            <w:top w:val="none" w:sz="0" w:space="0" w:color="auto"/>
            <w:left w:val="none" w:sz="0" w:space="0" w:color="auto"/>
            <w:bottom w:val="none" w:sz="0" w:space="0" w:color="auto"/>
            <w:right w:val="none" w:sz="0" w:space="0" w:color="auto"/>
          </w:divBdr>
        </w:div>
      </w:divsChild>
    </w:div>
    <w:div w:id="713043566">
      <w:bodyDiv w:val="1"/>
      <w:marLeft w:val="0"/>
      <w:marRight w:val="0"/>
      <w:marTop w:val="0"/>
      <w:marBottom w:val="0"/>
      <w:divBdr>
        <w:top w:val="none" w:sz="0" w:space="0" w:color="auto"/>
        <w:left w:val="none" w:sz="0" w:space="0" w:color="auto"/>
        <w:bottom w:val="none" w:sz="0" w:space="0" w:color="auto"/>
        <w:right w:val="none" w:sz="0" w:space="0" w:color="auto"/>
      </w:divBdr>
      <w:divsChild>
        <w:div w:id="1138301638">
          <w:marLeft w:val="274"/>
          <w:marRight w:val="0"/>
          <w:marTop w:val="0"/>
          <w:marBottom w:val="0"/>
          <w:divBdr>
            <w:top w:val="none" w:sz="0" w:space="0" w:color="auto"/>
            <w:left w:val="none" w:sz="0" w:space="0" w:color="auto"/>
            <w:bottom w:val="none" w:sz="0" w:space="0" w:color="auto"/>
            <w:right w:val="none" w:sz="0" w:space="0" w:color="auto"/>
          </w:divBdr>
        </w:div>
      </w:divsChild>
    </w:div>
    <w:div w:id="760178733">
      <w:bodyDiv w:val="1"/>
      <w:marLeft w:val="0"/>
      <w:marRight w:val="0"/>
      <w:marTop w:val="0"/>
      <w:marBottom w:val="0"/>
      <w:divBdr>
        <w:top w:val="none" w:sz="0" w:space="0" w:color="auto"/>
        <w:left w:val="none" w:sz="0" w:space="0" w:color="auto"/>
        <w:bottom w:val="none" w:sz="0" w:space="0" w:color="auto"/>
        <w:right w:val="none" w:sz="0" w:space="0" w:color="auto"/>
      </w:divBdr>
    </w:div>
    <w:div w:id="764695479">
      <w:bodyDiv w:val="1"/>
      <w:marLeft w:val="0"/>
      <w:marRight w:val="0"/>
      <w:marTop w:val="0"/>
      <w:marBottom w:val="0"/>
      <w:divBdr>
        <w:top w:val="none" w:sz="0" w:space="0" w:color="auto"/>
        <w:left w:val="none" w:sz="0" w:space="0" w:color="auto"/>
        <w:bottom w:val="none" w:sz="0" w:space="0" w:color="auto"/>
        <w:right w:val="none" w:sz="0" w:space="0" w:color="auto"/>
      </w:divBdr>
    </w:div>
    <w:div w:id="777023275">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789127929">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822085607">
      <w:bodyDiv w:val="1"/>
      <w:marLeft w:val="0"/>
      <w:marRight w:val="0"/>
      <w:marTop w:val="0"/>
      <w:marBottom w:val="0"/>
      <w:divBdr>
        <w:top w:val="none" w:sz="0" w:space="0" w:color="auto"/>
        <w:left w:val="none" w:sz="0" w:space="0" w:color="auto"/>
        <w:bottom w:val="none" w:sz="0" w:space="0" w:color="auto"/>
        <w:right w:val="none" w:sz="0" w:space="0" w:color="auto"/>
      </w:divBdr>
    </w:div>
    <w:div w:id="935091203">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008483299">
      <w:bodyDiv w:val="1"/>
      <w:marLeft w:val="0"/>
      <w:marRight w:val="0"/>
      <w:marTop w:val="0"/>
      <w:marBottom w:val="0"/>
      <w:divBdr>
        <w:top w:val="none" w:sz="0" w:space="0" w:color="auto"/>
        <w:left w:val="none" w:sz="0" w:space="0" w:color="auto"/>
        <w:bottom w:val="none" w:sz="0" w:space="0" w:color="auto"/>
        <w:right w:val="none" w:sz="0" w:space="0" w:color="auto"/>
      </w:divBdr>
      <w:divsChild>
        <w:div w:id="1008337171">
          <w:marLeft w:val="274"/>
          <w:marRight w:val="0"/>
          <w:marTop w:val="0"/>
          <w:marBottom w:val="0"/>
          <w:divBdr>
            <w:top w:val="none" w:sz="0" w:space="0" w:color="auto"/>
            <w:left w:val="none" w:sz="0" w:space="0" w:color="auto"/>
            <w:bottom w:val="none" w:sz="0" w:space="0" w:color="auto"/>
            <w:right w:val="none" w:sz="0" w:space="0" w:color="auto"/>
          </w:divBdr>
        </w:div>
      </w:divsChild>
    </w:div>
    <w:div w:id="1012756565">
      <w:bodyDiv w:val="1"/>
      <w:marLeft w:val="0"/>
      <w:marRight w:val="0"/>
      <w:marTop w:val="0"/>
      <w:marBottom w:val="0"/>
      <w:divBdr>
        <w:top w:val="none" w:sz="0" w:space="0" w:color="auto"/>
        <w:left w:val="none" w:sz="0" w:space="0" w:color="auto"/>
        <w:bottom w:val="none" w:sz="0" w:space="0" w:color="auto"/>
        <w:right w:val="none" w:sz="0" w:space="0" w:color="auto"/>
      </w:divBdr>
    </w:div>
    <w:div w:id="1025789619">
      <w:bodyDiv w:val="1"/>
      <w:marLeft w:val="0"/>
      <w:marRight w:val="0"/>
      <w:marTop w:val="0"/>
      <w:marBottom w:val="0"/>
      <w:divBdr>
        <w:top w:val="none" w:sz="0" w:space="0" w:color="auto"/>
        <w:left w:val="none" w:sz="0" w:space="0" w:color="auto"/>
        <w:bottom w:val="none" w:sz="0" w:space="0" w:color="auto"/>
        <w:right w:val="none" w:sz="0" w:space="0" w:color="auto"/>
      </w:divBdr>
    </w:div>
    <w:div w:id="1066149726">
      <w:bodyDiv w:val="1"/>
      <w:marLeft w:val="0"/>
      <w:marRight w:val="0"/>
      <w:marTop w:val="0"/>
      <w:marBottom w:val="0"/>
      <w:divBdr>
        <w:top w:val="none" w:sz="0" w:space="0" w:color="auto"/>
        <w:left w:val="none" w:sz="0" w:space="0" w:color="auto"/>
        <w:bottom w:val="none" w:sz="0" w:space="0" w:color="auto"/>
        <w:right w:val="none" w:sz="0" w:space="0" w:color="auto"/>
      </w:divBdr>
      <w:divsChild>
        <w:div w:id="369570167">
          <w:marLeft w:val="274"/>
          <w:marRight w:val="0"/>
          <w:marTop w:val="0"/>
          <w:marBottom w:val="0"/>
          <w:divBdr>
            <w:top w:val="none" w:sz="0" w:space="0" w:color="auto"/>
            <w:left w:val="none" w:sz="0" w:space="0" w:color="auto"/>
            <w:bottom w:val="none" w:sz="0" w:space="0" w:color="auto"/>
            <w:right w:val="none" w:sz="0" w:space="0" w:color="auto"/>
          </w:divBdr>
        </w:div>
      </w:divsChild>
    </w:div>
    <w:div w:id="1092117657">
      <w:bodyDiv w:val="1"/>
      <w:marLeft w:val="0"/>
      <w:marRight w:val="0"/>
      <w:marTop w:val="0"/>
      <w:marBottom w:val="0"/>
      <w:divBdr>
        <w:top w:val="none" w:sz="0" w:space="0" w:color="auto"/>
        <w:left w:val="none" w:sz="0" w:space="0" w:color="auto"/>
        <w:bottom w:val="none" w:sz="0" w:space="0" w:color="auto"/>
        <w:right w:val="none" w:sz="0" w:space="0" w:color="auto"/>
      </w:divBdr>
    </w:div>
    <w:div w:id="1104544105">
      <w:bodyDiv w:val="1"/>
      <w:marLeft w:val="0"/>
      <w:marRight w:val="0"/>
      <w:marTop w:val="0"/>
      <w:marBottom w:val="0"/>
      <w:divBdr>
        <w:top w:val="none" w:sz="0" w:space="0" w:color="auto"/>
        <w:left w:val="none" w:sz="0" w:space="0" w:color="auto"/>
        <w:bottom w:val="none" w:sz="0" w:space="0" w:color="auto"/>
        <w:right w:val="none" w:sz="0" w:space="0" w:color="auto"/>
      </w:divBdr>
    </w:div>
    <w:div w:id="1107046526">
      <w:bodyDiv w:val="1"/>
      <w:marLeft w:val="0"/>
      <w:marRight w:val="0"/>
      <w:marTop w:val="0"/>
      <w:marBottom w:val="0"/>
      <w:divBdr>
        <w:top w:val="none" w:sz="0" w:space="0" w:color="auto"/>
        <w:left w:val="none" w:sz="0" w:space="0" w:color="auto"/>
        <w:bottom w:val="none" w:sz="0" w:space="0" w:color="auto"/>
        <w:right w:val="none" w:sz="0" w:space="0" w:color="auto"/>
      </w:divBdr>
    </w:div>
    <w:div w:id="1117213592">
      <w:bodyDiv w:val="1"/>
      <w:marLeft w:val="0"/>
      <w:marRight w:val="0"/>
      <w:marTop w:val="0"/>
      <w:marBottom w:val="0"/>
      <w:divBdr>
        <w:top w:val="none" w:sz="0" w:space="0" w:color="auto"/>
        <w:left w:val="none" w:sz="0" w:space="0" w:color="auto"/>
        <w:bottom w:val="none" w:sz="0" w:space="0" w:color="auto"/>
        <w:right w:val="none" w:sz="0" w:space="0" w:color="auto"/>
      </w:divBdr>
      <w:divsChild>
        <w:div w:id="917055653">
          <w:marLeft w:val="274"/>
          <w:marRight w:val="0"/>
          <w:marTop w:val="0"/>
          <w:marBottom w:val="0"/>
          <w:divBdr>
            <w:top w:val="none" w:sz="0" w:space="0" w:color="auto"/>
            <w:left w:val="none" w:sz="0" w:space="0" w:color="auto"/>
            <w:bottom w:val="none" w:sz="0" w:space="0" w:color="auto"/>
            <w:right w:val="none" w:sz="0" w:space="0" w:color="auto"/>
          </w:divBdr>
        </w:div>
        <w:div w:id="1959137857">
          <w:marLeft w:val="274"/>
          <w:marRight w:val="0"/>
          <w:marTop w:val="0"/>
          <w:marBottom w:val="0"/>
          <w:divBdr>
            <w:top w:val="none" w:sz="0" w:space="0" w:color="auto"/>
            <w:left w:val="none" w:sz="0" w:space="0" w:color="auto"/>
            <w:bottom w:val="none" w:sz="0" w:space="0" w:color="auto"/>
            <w:right w:val="none" w:sz="0" w:space="0" w:color="auto"/>
          </w:divBdr>
        </w:div>
      </w:divsChild>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143814584">
      <w:bodyDiv w:val="1"/>
      <w:marLeft w:val="0"/>
      <w:marRight w:val="0"/>
      <w:marTop w:val="0"/>
      <w:marBottom w:val="0"/>
      <w:divBdr>
        <w:top w:val="none" w:sz="0" w:space="0" w:color="auto"/>
        <w:left w:val="none" w:sz="0" w:space="0" w:color="auto"/>
        <w:bottom w:val="none" w:sz="0" w:space="0" w:color="auto"/>
        <w:right w:val="none" w:sz="0" w:space="0" w:color="auto"/>
      </w:divBdr>
    </w:div>
    <w:div w:id="1180394645">
      <w:bodyDiv w:val="1"/>
      <w:marLeft w:val="0"/>
      <w:marRight w:val="0"/>
      <w:marTop w:val="0"/>
      <w:marBottom w:val="0"/>
      <w:divBdr>
        <w:top w:val="none" w:sz="0" w:space="0" w:color="auto"/>
        <w:left w:val="none" w:sz="0" w:space="0" w:color="auto"/>
        <w:bottom w:val="none" w:sz="0" w:space="0" w:color="auto"/>
        <w:right w:val="none" w:sz="0" w:space="0" w:color="auto"/>
      </w:divBdr>
    </w:div>
    <w:div w:id="1186402484">
      <w:bodyDiv w:val="1"/>
      <w:marLeft w:val="0"/>
      <w:marRight w:val="0"/>
      <w:marTop w:val="0"/>
      <w:marBottom w:val="0"/>
      <w:divBdr>
        <w:top w:val="none" w:sz="0" w:space="0" w:color="auto"/>
        <w:left w:val="none" w:sz="0" w:space="0" w:color="auto"/>
        <w:bottom w:val="none" w:sz="0" w:space="0" w:color="auto"/>
        <w:right w:val="none" w:sz="0" w:space="0" w:color="auto"/>
      </w:divBdr>
    </w:div>
    <w:div w:id="1212229465">
      <w:bodyDiv w:val="1"/>
      <w:marLeft w:val="0"/>
      <w:marRight w:val="0"/>
      <w:marTop w:val="0"/>
      <w:marBottom w:val="0"/>
      <w:divBdr>
        <w:top w:val="none" w:sz="0" w:space="0" w:color="auto"/>
        <w:left w:val="none" w:sz="0" w:space="0" w:color="auto"/>
        <w:bottom w:val="none" w:sz="0" w:space="0" w:color="auto"/>
        <w:right w:val="none" w:sz="0" w:space="0" w:color="auto"/>
      </w:divBdr>
    </w:div>
    <w:div w:id="1262566262">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299645044">
      <w:bodyDiv w:val="1"/>
      <w:marLeft w:val="0"/>
      <w:marRight w:val="0"/>
      <w:marTop w:val="0"/>
      <w:marBottom w:val="0"/>
      <w:divBdr>
        <w:top w:val="none" w:sz="0" w:space="0" w:color="auto"/>
        <w:left w:val="none" w:sz="0" w:space="0" w:color="auto"/>
        <w:bottom w:val="none" w:sz="0" w:space="0" w:color="auto"/>
        <w:right w:val="none" w:sz="0" w:space="0" w:color="auto"/>
      </w:divBdr>
    </w:div>
    <w:div w:id="1341737256">
      <w:bodyDiv w:val="1"/>
      <w:marLeft w:val="0"/>
      <w:marRight w:val="0"/>
      <w:marTop w:val="0"/>
      <w:marBottom w:val="0"/>
      <w:divBdr>
        <w:top w:val="none" w:sz="0" w:space="0" w:color="auto"/>
        <w:left w:val="none" w:sz="0" w:space="0" w:color="auto"/>
        <w:bottom w:val="none" w:sz="0" w:space="0" w:color="auto"/>
        <w:right w:val="none" w:sz="0" w:space="0" w:color="auto"/>
      </w:divBdr>
    </w:div>
    <w:div w:id="1378042750">
      <w:bodyDiv w:val="1"/>
      <w:marLeft w:val="0"/>
      <w:marRight w:val="0"/>
      <w:marTop w:val="0"/>
      <w:marBottom w:val="0"/>
      <w:divBdr>
        <w:top w:val="none" w:sz="0" w:space="0" w:color="auto"/>
        <w:left w:val="none" w:sz="0" w:space="0" w:color="auto"/>
        <w:bottom w:val="none" w:sz="0" w:space="0" w:color="auto"/>
        <w:right w:val="none" w:sz="0" w:space="0" w:color="auto"/>
      </w:divBdr>
    </w:div>
    <w:div w:id="1379469429">
      <w:bodyDiv w:val="1"/>
      <w:marLeft w:val="0"/>
      <w:marRight w:val="0"/>
      <w:marTop w:val="0"/>
      <w:marBottom w:val="0"/>
      <w:divBdr>
        <w:top w:val="none" w:sz="0" w:space="0" w:color="auto"/>
        <w:left w:val="none" w:sz="0" w:space="0" w:color="auto"/>
        <w:bottom w:val="none" w:sz="0" w:space="0" w:color="auto"/>
        <w:right w:val="none" w:sz="0" w:space="0" w:color="auto"/>
      </w:divBdr>
      <w:divsChild>
        <w:div w:id="1124928426">
          <w:marLeft w:val="274"/>
          <w:marRight w:val="0"/>
          <w:marTop w:val="0"/>
          <w:marBottom w:val="0"/>
          <w:divBdr>
            <w:top w:val="none" w:sz="0" w:space="0" w:color="auto"/>
            <w:left w:val="none" w:sz="0" w:space="0" w:color="auto"/>
            <w:bottom w:val="none" w:sz="0" w:space="0" w:color="auto"/>
            <w:right w:val="none" w:sz="0" w:space="0" w:color="auto"/>
          </w:divBdr>
        </w:div>
        <w:div w:id="207887017">
          <w:marLeft w:val="274"/>
          <w:marRight w:val="0"/>
          <w:marTop w:val="0"/>
          <w:marBottom w:val="0"/>
          <w:divBdr>
            <w:top w:val="none" w:sz="0" w:space="0" w:color="auto"/>
            <w:left w:val="none" w:sz="0" w:space="0" w:color="auto"/>
            <w:bottom w:val="none" w:sz="0" w:space="0" w:color="auto"/>
            <w:right w:val="none" w:sz="0" w:space="0" w:color="auto"/>
          </w:divBdr>
        </w:div>
      </w:divsChild>
    </w:div>
    <w:div w:id="1428114392">
      <w:bodyDiv w:val="1"/>
      <w:marLeft w:val="0"/>
      <w:marRight w:val="0"/>
      <w:marTop w:val="0"/>
      <w:marBottom w:val="0"/>
      <w:divBdr>
        <w:top w:val="none" w:sz="0" w:space="0" w:color="auto"/>
        <w:left w:val="none" w:sz="0" w:space="0" w:color="auto"/>
        <w:bottom w:val="none" w:sz="0" w:space="0" w:color="auto"/>
        <w:right w:val="none" w:sz="0" w:space="0" w:color="auto"/>
      </w:divBdr>
      <w:divsChild>
        <w:div w:id="1169717445">
          <w:marLeft w:val="274"/>
          <w:marRight w:val="0"/>
          <w:marTop w:val="0"/>
          <w:marBottom w:val="0"/>
          <w:divBdr>
            <w:top w:val="none" w:sz="0" w:space="0" w:color="auto"/>
            <w:left w:val="none" w:sz="0" w:space="0" w:color="auto"/>
            <w:bottom w:val="none" w:sz="0" w:space="0" w:color="auto"/>
            <w:right w:val="none" w:sz="0" w:space="0" w:color="auto"/>
          </w:divBdr>
        </w:div>
      </w:divsChild>
    </w:div>
    <w:div w:id="1447430653">
      <w:bodyDiv w:val="1"/>
      <w:marLeft w:val="0"/>
      <w:marRight w:val="0"/>
      <w:marTop w:val="0"/>
      <w:marBottom w:val="0"/>
      <w:divBdr>
        <w:top w:val="none" w:sz="0" w:space="0" w:color="auto"/>
        <w:left w:val="none" w:sz="0" w:space="0" w:color="auto"/>
        <w:bottom w:val="none" w:sz="0" w:space="0" w:color="auto"/>
        <w:right w:val="none" w:sz="0" w:space="0" w:color="auto"/>
      </w:divBdr>
    </w:div>
    <w:div w:id="1452362319">
      <w:bodyDiv w:val="1"/>
      <w:marLeft w:val="0"/>
      <w:marRight w:val="0"/>
      <w:marTop w:val="0"/>
      <w:marBottom w:val="0"/>
      <w:divBdr>
        <w:top w:val="none" w:sz="0" w:space="0" w:color="auto"/>
        <w:left w:val="none" w:sz="0" w:space="0" w:color="auto"/>
        <w:bottom w:val="none" w:sz="0" w:space="0" w:color="auto"/>
        <w:right w:val="none" w:sz="0" w:space="0" w:color="auto"/>
      </w:divBdr>
      <w:divsChild>
        <w:div w:id="639968756">
          <w:marLeft w:val="274"/>
          <w:marRight w:val="0"/>
          <w:marTop w:val="0"/>
          <w:marBottom w:val="0"/>
          <w:divBdr>
            <w:top w:val="none" w:sz="0" w:space="0" w:color="auto"/>
            <w:left w:val="none" w:sz="0" w:space="0" w:color="auto"/>
            <w:bottom w:val="none" w:sz="0" w:space="0" w:color="auto"/>
            <w:right w:val="none" w:sz="0" w:space="0" w:color="auto"/>
          </w:divBdr>
        </w:div>
        <w:div w:id="172107294">
          <w:marLeft w:val="274"/>
          <w:marRight w:val="0"/>
          <w:marTop w:val="0"/>
          <w:marBottom w:val="0"/>
          <w:divBdr>
            <w:top w:val="none" w:sz="0" w:space="0" w:color="auto"/>
            <w:left w:val="none" w:sz="0" w:space="0" w:color="auto"/>
            <w:bottom w:val="none" w:sz="0" w:space="0" w:color="auto"/>
            <w:right w:val="none" w:sz="0" w:space="0" w:color="auto"/>
          </w:divBdr>
        </w:div>
      </w:divsChild>
    </w:div>
    <w:div w:id="1467312488">
      <w:bodyDiv w:val="1"/>
      <w:marLeft w:val="0"/>
      <w:marRight w:val="0"/>
      <w:marTop w:val="0"/>
      <w:marBottom w:val="0"/>
      <w:divBdr>
        <w:top w:val="none" w:sz="0" w:space="0" w:color="auto"/>
        <w:left w:val="none" w:sz="0" w:space="0" w:color="auto"/>
        <w:bottom w:val="none" w:sz="0" w:space="0" w:color="auto"/>
        <w:right w:val="none" w:sz="0" w:space="0" w:color="auto"/>
      </w:divBdr>
    </w:div>
    <w:div w:id="1470244317">
      <w:bodyDiv w:val="1"/>
      <w:marLeft w:val="0"/>
      <w:marRight w:val="0"/>
      <w:marTop w:val="0"/>
      <w:marBottom w:val="0"/>
      <w:divBdr>
        <w:top w:val="none" w:sz="0" w:space="0" w:color="auto"/>
        <w:left w:val="none" w:sz="0" w:space="0" w:color="auto"/>
        <w:bottom w:val="none" w:sz="0" w:space="0" w:color="auto"/>
        <w:right w:val="none" w:sz="0" w:space="0" w:color="auto"/>
      </w:divBdr>
    </w:div>
    <w:div w:id="1489980904">
      <w:bodyDiv w:val="1"/>
      <w:marLeft w:val="0"/>
      <w:marRight w:val="0"/>
      <w:marTop w:val="0"/>
      <w:marBottom w:val="0"/>
      <w:divBdr>
        <w:top w:val="none" w:sz="0" w:space="0" w:color="auto"/>
        <w:left w:val="none" w:sz="0" w:space="0" w:color="auto"/>
        <w:bottom w:val="none" w:sz="0" w:space="0" w:color="auto"/>
        <w:right w:val="none" w:sz="0" w:space="0" w:color="auto"/>
      </w:divBdr>
    </w:div>
    <w:div w:id="1541749977">
      <w:bodyDiv w:val="1"/>
      <w:marLeft w:val="0"/>
      <w:marRight w:val="0"/>
      <w:marTop w:val="0"/>
      <w:marBottom w:val="0"/>
      <w:divBdr>
        <w:top w:val="none" w:sz="0" w:space="0" w:color="auto"/>
        <w:left w:val="none" w:sz="0" w:space="0" w:color="auto"/>
        <w:bottom w:val="none" w:sz="0" w:space="0" w:color="auto"/>
        <w:right w:val="none" w:sz="0" w:space="0" w:color="auto"/>
      </w:divBdr>
    </w:div>
    <w:div w:id="1545750644">
      <w:bodyDiv w:val="1"/>
      <w:marLeft w:val="0"/>
      <w:marRight w:val="0"/>
      <w:marTop w:val="0"/>
      <w:marBottom w:val="0"/>
      <w:divBdr>
        <w:top w:val="none" w:sz="0" w:space="0" w:color="auto"/>
        <w:left w:val="none" w:sz="0" w:space="0" w:color="auto"/>
        <w:bottom w:val="none" w:sz="0" w:space="0" w:color="auto"/>
        <w:right w:val="none" w:sz="0" w:space="0" w:color="auto"/>
      </w:divBdr>
    </w:div>
    <w:div w:id="1560478065">
      <w:bodyDiv w:val="1"/>
      <w:marLeft w:val="0"/>
      <w:marRight w:val="0"/>
      <w:marTop w:val="0"/>
      <w:marBottom w:val="0"/>
      <w:divBdr>
        <w:top w:val="none" w:sz="0" w:space="0" w:color="auto"/>
        <w:left w:val="none" w:sz="0" w:space="0" w:color="auto"/>
        <w:bottom w:val="none" w:sz="0" w:space="0" w:color="auto"/>
        <w:right w:val="none" w:sz="0" w:space="0" w:color="auto"/>
      </w:divBdr>
    </w:div>
    <w:div w:id="1594823681">
      <w:bodyDiv w:val="1"/>
      <w:marLeft w:val="0"/>
      <w:marRight w:val="0"/>
      <w:marTop w:val="0"/>
      <w:marBottom w:val="0"/>
      <w:divBdr>
        <w:top w:val="none" w:sz="0" w:space="0" w:color="auto"/>
        <w:left w:val="none" w:sz="0" w:space="0" w:color="auto"/>
        <w:bottom w:val="none" w:sz="0" w:space="0" w:color="auto"/>
        <w:right w:val="none" w:sz="0" w:space="0" w:color="auto"/>
      </w:divBdr>
    </w:div>
    <w:div w:id="1616130720">
      <w:bodyDiv w:val="1"/>
      <w:marLeft w:val="0"/>
      <w:marRight w:val="0"/>
      <w:marTop w:val="0"/>
      <w:marBottom w:val="0"/>
      <w:divBdr>
        <w:top w:val="none" w:sz="0" w:space="0" w:color="auto"/>
        <w:left w:val="none" w:sz="0" w:space="0" w:color="auto"/>
        <w:bottom w:val="none" w:sz="0" w:space="0" w:color="auto"/>
        <w:right w:val="none" w:sz="0" w:space="0" w:color="auto"/>
      </w:divBdr>
      <w:divsChild>
        <w:div w:id="1082486954">
          <w:marLeft w:val="274"/>
          <w:marRight w:val="0"/>
          <w:marTop w:val="0"/>
          <w:marBottom w:val="0"/>
          <w:divBdr>
            <w:top w:val="none" w:sz="0" w:space="0" w:color="auto"/>
            <w:left w:val="none" w:sz="0" w:space="0" w:color="auto"/>
            <w:bottom w:val="none" w:sz="0" w:space="0" w:color="auto"/>
            <w:right w:val="none" w:sz="0" w:space="0" w:color="auto"/>
          </w:divBdr>
        </w:div>
      </w:divsChild>
    </w:div>
    <w:div w:id="1640770405">
      <w:bodyDiv w:val="1"/>
      <w:marLeft w:val="0"/>
      <w:marRight w:val="0"/>
      <w:marTop w:val="0"/>
      <w:marBottom w:val="0"/>
      <w:divBdr>
        <w:top w:val="none" w:sz="0" w:space="0" w:color="auto"/>
        <w:left w:val="none" w:sz="0" w:space="0" w:color="auto"/>
        <w:bottom w:val="none" w:sz="0" w:space="0" w:color="auto"/>
        <w:right w:val="none" w:sz="0" w:space="0" w:color="auto"/>
      </w:divBdr>
    </w:div>
    <w:div w:id="1646005935">
      <w:bodyDiv w:val="1"/>
      <w:marLeft w:val="0"/>
      <w:marRight w:val="0"/>
      <w:marTop w:val="0"/>
      <w:marBottom w:val="0"/>
      <w:divBdr>
        <w:top w:val="none" w:sz="0" w:space="0" w:color="auto"/>
        <w:left w:val="none" w:sz="0" w:space="0" w:color="auto"/>
        <w:bottom w:val="none" w:sz="0" w:space="0" w:color="auto"/>
        <w:right w:val="none" w:sz="0" w:space="0" w:color="auto"/>
      </w:divBdr>
    </w:div>
    <w:div w:id="1682118998">
      <w:bodyDiv w:val="1"/>
      <w:marLeft w:val="0"/>
      <w:marRight w:val="0"/>
      <w:marTop w:val="0"/>
      <w:marBottom w:val="0"/>
      <w:divBdr>
        <w:top w:val="none" w:sz="0" w:space="0" w:color="auto"/>
        <w:left w:val="none" w:sz="0" w:space="0" w:color="auto"/>
        <w:bottom w:val="none" w:sz="0" w:space="0" w:color="auto"/>
        <w:right w:val="none" w:sz="0" w:space="0" w:color="auto"/>
      </w:divBdr>
    </w:div>
    <w:div w:id="1737825637">
      <w:bodyDiv w:val="1"/>
      <w:marLeft w:val="0"/>
      <w:marRight w:val="0"/>
      <w:marTop w:val="0"/>
      <w:marBottom w:val="0"/>
      <w:divBdr>
        <w:top w:val="none" w:sz="0" w:space="0" w:color="auto"/>
        <w:left w:val="none" w:sz="0" w:space="0" w:color="auto"/>
        <w:bottom w:val="none" w:sz="0" w:space="0" w:color="auto"/>
        <w:right w:val="none" w:sz="0" w:space="0" w:color="auto"/>
      </w:divBdr>
    </w:div>
    <w:div w:id="1744449056">
      <w:bodyDiv w:val="1"/>
      <w:marLeft w:val="0"/>
      <w:marRight w:val="0"/>
      <w:marTop w:val="0"/>
      <w:marBottom w:val="0"/>
      <w:divBdr>
        <w:top w:val="none" w:sz="0" w:space="0" w:color="auto"/>
        <w:left w:val="none" w:sz="0" w:space="0" w:color="auto"/>
        <w:bottom w:val="none" w:sz="0" w:space="0" w:color="auto"/>
        <w:right w:val="none" w:sz="0" w:space="0" w:color="auto"/>
      </w:divBdr>
    </w:div>
    <w:div w:id="1766610935">
      <w:bodyDiv w:val="1"/>
      <w:marLeft w:val="0"/>
      <w:marRight w:val="0"/>
      <w:marTop w:val="0"/>
      <w:marBottom w:val="0"/>
      <w:divBdr>
        <w:top w:val="none" w:sz="0" w:space="0" w:color="auto"/>
        <w:left w:val="none" w:sz="0" w:space="0" w:color="auto"/>
        <w:bottom w:val="none" w:sz="0" w:space="0" w:color="auto"/>
        <w:right w:val="none" w:sz="0" w:space="0" w:color="auto"/>
      </w:divBdr>
    </w:div>
    <w:div w:id="1803886477">
      <w:bodyDiv w:val="1"/>
      <w:marLeft w:val="0"/>
      <w:marRight w:val="0"/>
      <w:marTop w:val="0"/>
      <w:marBottom w:val="0"/>
      <w:divBdr>
        <w:top w:val="none" w:sz="0" w:space="0" w:color="auto"/>
        <w:left w:val="none" w:sz="0" w:space="0" w:color="auto"/>
        <w:bottom w:val="none" w:sz="0" w:space="0" w:color="auto"/>
        <w:right w:val="none" w:sz="0" w:space="0" w:color="auto"/>
      </w:divBdr>
    </w:div>
    <w:div w:id="1808205268">
      <w:bodyDiv w:val="1"/>
      <w:marLeft w:val="0"/>
      <w:marRight w:val="0"/>
      <w:marTop w:val="0"/>
      <w:marBottom w:val="0"/>
      <w:divBdr>
        <w:top w:val="none" w:sz="0" w:space="0" w:color="auto"/>
        <w:left w:val="none" w:sz="0" w:space="0" w:color="auto"/>
        <w:bottom w:val="none" w:sz="0" w:space="0" w:color="auto"/>
        <w:right w:val="none" w:sz="0" w:space="0" w:color="auto"/>
      </w:divBdr>
    </w:div>
    <w:div w:id="1827669985">
      <w:bodyDiv w:val="1"/>
      <w:marLeft w:val="0"/>
      <w:marRight w:val="0"/>
      <w:marTop w:val="0"/>
      <w:marBottom w:val="0"/>
      <w:divBdr>
        <w:top w:val="none" w:sz="0" w:space="0" w:color="auto"/>
        <w:left w:val="none" w:sz="0" w:space="0" w:color="auto"/>
        <w:bottom w:val="none" w:sz="0" w:space="0" w:color="auto"/>
        <w:right w:val="none" w:sz="0" w:space="0" w:color="auto"/>
      </w:divBdr>
    </w:div>
    <w:div w:id="1860466866">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 w:id="1904565659">
      <w:bodyDiv w:val="1"/>
      <w:marLeft w:val="0"/>
      <w:marRight w:val="0"/>
      <w:marTop w:val="0"/>
      <w:marBottom w:val="0"/>
      <w:divBdr>
        <w:top w:val="none" w:sz="0" w:space="0" w:color="auto"/>
        <w:left w:val="none" w:sz="0" w:space="0" w:color="auto"/>
        <w:bottom w:val="none" w:sz="0" w:space="0" w:color="auto"/>
        <w:right w:val="none" w:sz="0" w:space="0" w:color="auto"/>
      </w:divBdr>
    </w:div>
    <w:div w:id="1910572582">
      <w:bodyDiv w:val="1"/>
      <w:marLeft w:val="0"/>
      <w:marRight w:val="0"/>
      <w:marTop w:val="0"/>
      <w:marBottom w:val="0"/>
      <w:divBdr>
        <w:top w:val="none" w:sz="0" w:space="0" w:color="auto"/>
        <w:left w:val="none" w:sz="0" w:space="0" w:color="auto"/>
        <w:bottom w:val="none" w:sz="0" w:space="0" w:color="auto"/>
        <w:right w:val="none" w:sz="0" w:space="0" w:color="auto"/>
      </w:divBdr>
    </w:div>
    <w:div w:id="1916889514">
      <w:bodyDiv w:val="1"/>
      <w:marLeft w:val="0"/>
      <w:marRight w:val="0"/>
      <w:marTop w:val="0"/>
      <w:marBottom w:val="0"/>
      <w:divBdr>
        <w:top w:val="none" w:sz="0" w:space="0" w:color="auto"/>
        <w:left w:val="none" w:sz="0" w:space="0" w:color="auto"/>
        <w:bottom w:val="none" w:sz="0" w:space="0" w:color="auto"/>
        <w:right w:val="none" w:sz="0" w:space="0" w:color="auto"/>
      </w:divBdr>
    </w:div>
    <w:div w:id="1932547329">
      <w:bodyDiv w:val="1"/>
      <w:marLeft w:val="0"/>
      <w:marRight w:val="0"/>
      <w:marTop w:val="0"/>
      <w:marBottom w:val="0"/>
      <w:divBdr>
        <w:top w:val="none" w:sz="0" w:space="0" w:color="auto"/>
        <w:left w:val="none" w:sz="0" w:space="0" w:color="auto"/>
        <w:bottom w:val="none" w:sz="0" w:space="0" w:color="auto"/>
        <w:right w:val="none" w:sz="0" w:space="0" w:color="auto"/>
      </w:divBdr>
    </w:div>
    <w:div w:id="1993677987">
      <w:bodyDiv w:val="1"/>
      <w:marLeft w:val="0"/>
      <w:marRight w:val="0"/>
      <w:marTop w:val="0"/>
      <w:marBottom w:val="0"/>
      <w:divBdr>
        <w:top w:val="none" w:sz="0" w:space="0" w:color="auto"/>
        <w:left w:val="none" w:sz="0" w:space="0" w:color="auto"/>
        <w:bottom w:val="none" w:sz="0" w:space="0" w:color="auto"/>
        <w:right w:val="none" w:sz="0" w:space="0" w:color="auto"/>
      </w:divBdr>
    </w:div>
    <w:div w:id="20626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5407b4138e24b94"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C57B6D6CE6D444B922544F48F1D3FB" ma:contentTypeVersion="" ma:contentTypeDescription="PDMS Document Site Content Type" ma:contentTypeScope="" ma:versionID="c0fee0a1ce67ca511469d85d4b93d238">
  <xsd:schema xmlns:xsd="http://www.w3.org/2001/XMLSchema" xmlns:xs="http://www.w3.org/2001/XMLSchema" xmlns:p="http://schemas.microsoft.com/office/2006/metadata/properties" xmlns:ns2="3CA7427D-6C6A-46C5-B09A-7EDEEFCD6B29" targetNamespace="http://schemas.microsoft.com/office/2006/metadata/properties" ma:root="true" ma:fieldsID="94477eff1523b5c2ea0cfedce8e397f3" ns2:_="">
    <xsd:import namespace="3CA7427D-6C6A-46C5-B09A-7EDEEFCD6B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7427D-6C6A-46C5-B09A-7EDEEFCD6B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A7427D-6C6A-46C5-B09A-7EDEEFCD6B29">5;#OFFICIAL|9e0ec9cb-4e7f-4d4a-bd32-1ee7525c6d87</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E967-F768-4787-AE8E-F456EE6D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7427D-6C6A-46C5-B09A-7EDEEFC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E8E33-E69F-4A26-A505-58BFF0A29E5F}">
  <ds:schemaRefs>
    <ds:schemaRef ds:uri="http://schemas.microsoft.com/office/2006/metadata/properties"/>
    <ds:schemaRef ds:uri="http://schemas.microsoft.com/office/infopath/2007/PartnerControls"/>
    <ds:schemaRef ds:uri="3CA7427D-6C6A-46C5-B09A-7EDEEFCD6B29"/>
  </ds:schemaRefs>
</ds:datastoreItem>
</file>

<file path=customXml/itemProps3.xml><?xml version="1.0" encoding="utf-8"?>
<ds:datastoreItem xmlns:ds="http://schemas.openxmlformats.org/officeDocument/2006/customXml" ds:itemID="{AEDD5962-26A4-468E-806E-8F2D41DEDC2C}">
  <ds:schemaRefs>
    <ds:schemaRef ds:uri="http://schemas.microsoft.com/sharepoint/v3/contenttype/forms"/>
  </ds:schemaRefs>
</ds:datastoreItem>
</file>

<file path=customXml/itemProps4.xml><?xml version="1.0" encoding="utf-8"?>
<ds:datastoreItem xmlns:ds="http://schemas.openxmlformats.org/officeDocument/2006/customXml" ds:itemID="{7E161291-1897-4A4F-AB8B-D888CBC6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 Horizon Action Plan</dc:title>
  <dc:subject/>
  <dc:creator/>
  <cp:keywords/>
  <dc:description/>
  <cp:lastModifiedBy/>
  <cp:revision>1</cp:revision>
  <dcterms:created xsi:type="dcterms:W3CDTF">2025-05-15T05:39:00Z</dcterms:created>
  <dcterms:modified xsi:type="dcterms:W3CDTF">2025-05-15T05:39:00Z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0x010100266966F133664895A6EE3632470D45F50026C57B6D6CE6D444B922544F48F1D3FB</vt:lpwstr>
  </property>
  <property fmtid="{D5CDD505-2E9C-101B-9397-08002B2CF9AE}" pid="3" name="SecurityClassification">
    <vt:lpwstr>5;#OFFICIAL|9e0ec9cb-4e7f-4d4a-bd32-1ee7525c6d87</vt:lpwstr>
  </property>
  <property fmtid="{D5CDD505-2E9C-101B-9397-08002B2CF9AE}" pid="4" name="_dlc_DocIdItemGuid">
    <vt:lpwstr>02d2c004-7aaa-4b12-925d-47ed7d3f4e6d</vt:lpwstr>
  </property>
  <property fmtid="{D5CDD505-2E9C-101B-9397-08002B2CF9AE}" pid="5" name="TaxKeyword">
    <vt:lpwstr/>
  </property>
  <property fmtid="{D5CDD505-2E9C-101B-9397-08002B2CF9AE}" pid="6" name="MediaServiceImageTags">
    <vt:lpwstr/>
  </property>
  <property fmtid="{D5CDD505-2E9C-101B-9397-08002B2CF9AE}" pid="7" name="InformationMarker">
    <vt:lpwstr/>
  </property>
</Properties>
</file>