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DB" w:rsidRDefault="00DC471A" w:rsidP="00902CDB">
      <w:pPr>
        <w:pStyle w:val="Factsheet"/>
      </w:pPr>
      <w:r>
        <w:rPr>
          <w:noProof/>
          <w:lang w:val="en-AU" w:eastAsia="en-AU"/>
        </w:rPr>
        <w:drawing>
          <wp:anchor distT="0" distB="0" distL="114300" distR="114300" simplePos="0" relativeHeight="251669504" behindDoc="1" locked="0" layoutInCell="1" allowOverlap="1" wp14:anchorId="6423225D" wp14:editId="0A0023D5">
            <wp:simplePos x="0" y="0"/>
            <wp:positionH relativeFrom="leftMargin">
              <wp:posOffset>408077</wp:posOffset>
            </wp:positionH>
            <wp:positionV relativeFrom="paragraph">
              <wp:posOffset>-3835</wp:posOffset>
            </wp:positionV>
            <wp:extent cx="558800" cy="685800"/>
            <wp:effectExtent l="0" t="0" r="0"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800" cy="685800"/>
                    </a:xfrm>
                    <a:prstGeom prst="rect">
                      <a:avLst/>
                    </a:prstGeom>
                  </pic:spPr>
                </pic:pic>
              </a:graphicData>
            </a:graphic>
            <wp14:sizeRelH relativeFrom="page">
              <wp14:pctWidth>0</wp14:pctWidth>
            </wp14:sizeRelH>
            <wp14:sizeRelV relativeFrom="page">
              <wp14:pctHeight>0</wp14:pctHeight>
            </wp14:sizeRelV>
          </wp:anchor>
        </w:drawing>
      </w:r>
      <w:r w:rsidR="009928B0">
        <w:t>Factsheet</w:t>
      </w:r>
    </w:p>
    <w:p w:rsidR="009928B0" w:rsidRPr="00C133C4" w:rsidRDefault="00C133C4" w:rsidP="00902CDB">
      <w:pPr>
        <w:pStyle w:val="Heading1-title"/>
        <w:rPr>
          <w:sz w:val="64"/>
          <w:szCs w:val="64"/>
        </w:rPr>
      </w:pPr>
      <w:r w:rsidRPr="00C133C4">
        <w:rPr>
          <w:sz w:val="64"/>
          <w:szCs w:val="64"/>
        </w:rPr>
        <w:t>Changes in role, assigning different duties, and</w:t>
      </w:r>
      <w:r w:rsidR="009537D2" w:rsidRPr="00C133C4">
        <w:rPr>
          <w:sz w:val="64"/>
          <w:szCs w:val="64"/>
        </w:rPr>
        <w:t xml:space="preserve"> suspension</w:t>
      </w:r>
    </w:p>
    <w:p w:rsidR="00902CDB" w:rsidRDefault="00902CDB" w:rsidP="00902CDB">
      <w:pPr>
        <w:pStyle w:val="BodyText"/>
        <w:sectPr w:rsidR="00902CDB" w:rsidSect="00D74549">
          <w:headerReference w:type="default" r:id="rId12"/>
          <w:footerReference w:type="even" r:id="rId13"/>
          <w:footerReference w:type="default" r:id="rId14"/>
          <w:headerReference w:type="first" r:id="rId15"/>
          <w:footerReference w:type="first" r:id="rId16"/>
          <w:type w:val="continuous"/>
          <w:pgSz w:w="11900" w:h="16840"/>
          <w:pgMar w:top="3828" w:right="1418" w:bottom="1418" w:left="1361" w:header="720" w:footer="720" w:gutter="369"/>
          <w:pgNumType w:start="1"/>
          <w:cols w:space="369"/>
          <w:noEndnote/>
          <w:titlePg/>
          <w:docGrid w:linePitch="326"/>
        </w:sectPr>
      </w:pPr>
    </w:p>
    <w:p w:rsidR="00FA2D04" w:rsidRDefault="00FA2D04" w:rsidP="00FA2D04">
      <w:pPr>
        <w:pStyle w:val="BodyText"/>
      </w:pPr>
      <w:r>
        <w:t>Agencies should consider whether it is appropriate for the person under investigation to remain in their current role, or in the workplace, while the misconduct process takes place.</w:t>
      </w:r>
    </w:p>
    <w:p w:rsidR="00FA2D04" w:rsidRDefault="00FA2D04" w:rsidP="00FA2D04">
      <w:pPr>
        <w:pStyle w:val="BodyText"/>
      </w:pPr>
      <w:r>
        <w:t>Decision-makers in these matters should not prejudge, or be seen to prejudge, the outcome of the misconduct action. At this stage, the relevant measures are precautionary, aimed at protecting the interests and reputation of the agency, the public interest, and the interests of other employees, including the complainant or witnesses. In some cases, these decisions will also be made in the interests of the person under investigation. They are not to be used a</w:t>
      </w:r>
      <w:r w:rsidR="00C133C4">
        <w:t>s a punitive tactic, or as a de </w:t>
      </w:r>
      <w:r>
        <w:t>facto sanction.</w:t>
      </w:r>
    </w:p>
    <w:p w:rsidR="00FA2D04" w:rsidRDefault="00FA2D04" w:rsidP="00FA2D04">
      <w:pPr>
        <w:pStyle w:val="BodyText"/>
      </w:pPr>
      <w:r>
        <w:t>Decisions about these measures may be made at the same time as a decision to start misconduct action, or at any stage during the misconduct process if there are further developments—for example, concerns raised by other employees, repetition of the behaviour, or new allegations coming to light during the investigation.</w:t>
      </w:r>
    </w:p>
    <w:p w:rsidR="00C133C4" w:rsidRDefault="00C133C4" w:rsidP="00FA2D04">
      <w:pPr>
        <w:pStyle w:val="BodyText"/>
      </w:pPr>
    </w:p>
    <w:p w:rsidR="00FA2D04" w:rsidRDefault="00FA2D04" w:rsidP="00FA2D04">
      <w:pPr>
        <w:pStyle w:val="BodyText"/>
      </w:pPr>
      <w:r>
        <w:t>Decisions about the role or presence in the workplace of the person under investigation during the misconduct process should have regard to the nature and severity of the specific risks, and should be proportionate to t</w:t>
      </w:r>
      <w:r w:rsidR="00C133C4">
        <w:t>hese risks.</w:t>
      </w:r>
    </w:p>
    <w:p w:rsidR="00707D3E" w:rsidRDefault="00FA2D04" w:rsidP="00FA2D04">
      <w:pPr>
        <w:pStyle w:val="BodyText"/>
      </w:pPr>
      <w:r>
        <w:t>If it is not possible to mitigate the risks in a given case through measures that would enable the person under investigation to remain at work, agencies may consider suspending the person from duty.</w:t>
      </w:r>
    </w:p>
    <w:p w:rsidR="009537D2" w:rsidRDefault="009537D2" w:rsidP="00C133C4">
      <w:pPr>
        <w:pStyle w:val="BodyText"/>
        <w:spacing w:before="240" w:after="120"/>
        <w:rPr>
          <w:rFonts w:ascii="Calibri" w:hAnsi="Calibri" w:cs="Calibri"/>
          <w:b/>
          <w:bCs/>
          <w:sz w:val="28"/>
          <w:szCs w:val="28"/>
        </w:rPr>
      </w:pPr>
      <w:r w:rsidRPr="009537D2">
        <w:rPr>
          <w:rFonts w:ascii="Calibri" w:hAnsi="Calibri" w:cs="Calibri"/>
          <w:b/>
          <w:bCs/>
          <w:sz w:val="28"/>
          <w:szCs w:val="28"/>
        </w:rPr>
        <w:t>Assigning different duties</w:t>
      </w:r>
    </w:p>
    <w:p w:rsidR="00707D3E" w:rsidRDefault="00FA2D04" w:rsidP="00707D3E">
      <w:pPr>
        <w:pStyle w:val="BodyText"/>
      </w:pPr>
      <w:r w:rsidRPr="00FA2D04">
        <w:t>An agency may decide that it is appropriate to assign different duties to the person under investigation, either for a temporary period or on an ongoing basis. The power to do so is the gener</w:t>
      </w:r>
      <w:r>
        <w:t>al assignment of duties power</w:t>
      </w:r>
      <w:r w:rsidR="00707D3E">
        <w:t xml:space="preserve"> in s.25 of the </w:t>
      </w:r>
      <w:r w:rsidR="00707D3E" w:rsidRPr="00707D3E">
        <w:rPr>
          <w:i/>
        </w:rPr>
        <w:t>Public Service Act 1999</w:t>
      </w:r>
      <w:r w:rsidR="00707D3E">
        <w:t xml:space="preserve"> (PS Act).</w:t>
      </w:r>
    </w:p>
    <w:p w:rsidR="00FA2D04" w:rsidRDefault="00FA2D04" w:rsidP="00FA2D04">
      <w:pPr>
        <w:pStyle w:val="BodyText"/>
      </w:pPr>
      <w:r>
        <w:t>In order to ensure that all relevant facts are considered before making a decision to assign different duties, agencies should notify the person under investigation of the proposal and seek their views. Sometimes urgent action may be required that will not allow for that opportunity. In such cases, it would be appropriate to invite the person to comment after the decision has been made. Depending on their response, the agency has the flexibility to consider alternative arrangements, including suspension.</w:t>
      </w:r>
    </w:p>
    <w:p w:rsidR="00707D3E" w:rsidRDefault="00FA2D04" w:rsidP="00FA2D04">
      <w:pPr>
        <w:pStyle w:val="BodyText"/>
      </w:pPr>
      <w:r>
        <w:t>Employees who are assigned to different duties are not entitled to seek review of the decision under s.33 of the PS Act unless it involves relocation to another place, or assignment of duties that the employee cannot reasonably be expected to perform</w:t>
      </w:r>
      <w:r w:rsidR="00707D3E">
        <w:t>.</w:t>
      </w:r>
    </w:p>
    <w:p w:rsidR="009537D2" w:rsidRDefault="009537D2" w:rsidP="009537D2">
      <w:pPr>
        <w:pStyle w:val="BodyText"/>
        <w:rPr>
          <w:rFonts w:ascii="Calibri" w:hAnsi="Calibri" w:cs="Calibri"/>
          <w:b/>
          <w:bCs/>
          <w:sz w:val="28"/>
          <w:szCs w:val="28"/>
        </w:rPr>
      </w:pPr>
      <w:r>
        <w:rPr>
          <w:rFonts w:ascii="Calibri" w:hAnsi="Calibri" w:cs="Calibri"/>
          <w:b/>
          <w:bCs/>
          <w:sz w:val="28"/>
          <w:szCs w:val="28"/>
        </w:rPr>
        <w:t>Suspensi</w:t>
      </w:r>
      <w:r w:rsidR="00C133C4">
        <w:rPr>
          <w:rFonts w:ascii="Calibri" w:hAnsi="Calibri" w:cs="Calibri"/>
          <w:b/>
          <w:bCs/>
          <w:sz w:val="28"/>
          <w:szCs w:val="28"/>
        </w:rPr>
        <w:t>on</w:t>
      </w:r>
    </w:p>
    <w:p w:rsidR="00FA2D04" w:rsidRPr="00FA2D04" w:rsidRDefault="00C133C4" w:rsidP="00FA2D04">
      <w:pPr>
        <w:spacing w:after="180" w:line="300" w:lineRule="atLeast"/>
        <w:rPr>
          <w:rFonts w:ascii="Calibri Light" w:hAnsi="Calibri Light" w:cs="Calibri Light"/>
          <w:color w:val="000000"/>
          <w:lang w:val="en-US"/>
        </w:rPr>
      </w:pPr>
      <w:r>
        <w:rPr>
          <w:noProof/>
          <w:lang w:eastAsia="en-AU"/>
        </w:rPr>
        <mc:AlternateContent>
          <mc:Choice Requires="wps">
            <w:drawing>
              <wp:anchor distT="0" distB="0" distL="0" distR="0" simplePos="0" relativeHeight="251671552" behindDoc="1" locked="0" layoutInCell="1" allowOverlap="1" wp14:anchorId="6E0A3E0A" wp14:editId="377B8DE4">
                <wp:simplePos x="0" y="0"/>
                <wp:positionH relativeFrom="column">
                  <wp:posOffset>2886075</wp:posOffset>
                </wp:positionH>
                <wp:positionV relativeFrom="paragraph">
                  <wp:posOffset>332684</wp:posOffset>
                </wp:positionV>
                <wp:extent cx="2729865" cy="508000"/>
                <wp:effectExtent l="0" t="0" r="13335"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508000"/>
                        </a:xfrm>
                        <a:prstGeom prst="rect">
                          <a:avLst/>
                        </a:prstGeom>
                        <a:noFill/>
                        <a:ln w="6350">
                          <a:solidFill>
                            <a:srgbClr val="C0C2C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37D2" w:rsidRPr="00553359" w:rsidRDefault="009537D2" w:rsidP="009537D2">
                            <w:pPr>
                              <w:spacing w:before="145"/>
                              <w:ind w:left="330"/>
                              <w:rPr>
                                <w:b/>
                                <w:color w:val="231F20"/>
                                <w:sz w:val="20"/>
                                <w:lang w:val="en-US"/>
                              </w:rPr>
                            </w:pPr>
                            <w:r w:rsidRPr="00553359">
                              <w:rPr>
                                <w:color w:val="231F20"/>
                                <w:sz w:val="20"/>
                                <w:lang w:val="en-US"/>
                              </w:rPr>
                              <w:t xml:space="preserve">Further information can be found in </w:t>
                            </w:r>
                            <w:r>
                              <w:rPr>
                                <w:b/>
                                <w:color w:val="231F20"/>
                                <w:sz w:val="20"/>
                                <w:lang w:val="en-US"/>
                              </w:rPr>
                              <w:t>Chapter 7</w:t>
                            </w:r>
                            <w:r w:rsidRPr="00553359">
                              <w:rPr>
                                <w:b/>
                                <w:color w:val="231F20"/>
                                <w:sz w:val="20"/>
                                <w:lang w:val="en-US"/>
                              </w:rPr>
                              <w:t xml:space="preserve"> </w:t>
                            </w:r>
                            <w:r w:rsidRPr="00553359">
                              <w:rPr>
                                <w:color w:val="231F20"/>
                                <w:sz w:val="20"/>
                                <w:lang w:val="en-US"/>
                              </w:rPr>
                              <w:t xml:space="preserve">of </w:t>
                            </w:r>
                            <w:r w:rsidRPr="00553359">
                              <w:rPr>
                                <w:b/>
                                <w:color w:val="231F20"/>
                                <w:sz w:val="20"/>
                                <w:lang w:val="en-US"/>
                              </w:rPr>
                              <w:t>Handling Misconduct.</w:t>
                            </w:r>
                          </w:p>
                          <w:p w:rsidR="009537D2" w:rsidRDefault="009537D2" w:rsidP="009537D2">
                            <w:pPr>
                              <w:spacing w:before="145"/>
                              <w:ind w:left="33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A3E0A" id="_x0000_t202" coordsize="21600,21600" o:spt="202" path="m,l,21600r21600,l21600,xe">
                <v:stroke joinstyle="miter"/>
                <v:path gradientshapeok="t" o:connecttype="rect"/>
              </v:shapetype>
              <v:shape id="Text Box 2" o:spid="_x0000_s1026" type="#_x0000_t202" style="position:absolute;margin-left:227.25pt;margin-top:26.2pt;width:214.95pt;height:40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" filled="f" strokecolor="#c0c2c4" strokeweight=".5pt">
                <v:textbox inset="0,0,0,0">
                  <w:txbxContent>
                    <w:p w:rsidR="009537D2" w:rsidRPr="00553359" w:rsidRDefault="009537D2" w:rsidP="009537D2">
                      <w:pPr>
                        <w:spacing w:before="145"/>
                        <w:ind w:left="330"/>
                        <w:rPr>
                          <w:b/>
                          <w:color w:val="231F20"/>
                          <w:sz w:val="20"/>
                          <w:lang w:val="en-US"/>
                        </w:rPr>
                      </w:pPr>
                      <w:r w:rsidRPr="00553359">
                        <w:rPr>
                          <w:color w:val="231F20"/>
                          <w:sz w:val="20"/>
                          <w:lang w:val="en-US"/>
                        </w:rPr>
                        <w:t xml:space="preserve">Further information can be found in </w:t>
                      </w:r>
                      <w:r>
                        <w:rPr>
                          <w:b/>
                          <w:color w:val="231F20"/>
                          <w:sz w:val="20"/>
                          <w:lang w:val="en-US"/>
                        </w:rPr>
                        <w:t>Chapter 7</w:t>
                      </w:r>
                      <w:r w:rsidRPr="00553359">
                        <w:rPr>
                          <w:b/>
                          <w:color w:val="231F20"/>
                          <w:sz w:val="20"/>
                          <w:lang w:val="en-US"/>
                        </w:rPr>
                        <w:t xml:space="preserve"> </w:t>
                      </w:r>
                      <w:r w:rsidRPr="00553359">
                        <w:rPr>
                          <w:color w:val="231F20"/>
                          <w:sz w:val="20"/>
                          <w:lang w:val="en-US"/>
                        </w:rPr>
                        <w:t xml:space="preserve">of </w:t>
                      </w:r>
                      <w:r w:rsidRPr="00553359">
                        <w:rPr>
                          <w:b/>
                          <w:color w:val="231F20"/>
                          <w:sz w:val="20"/>
                          <w:lang w:val="en-US"/>
                        </w:rPr>
                        <w:t>Handling Misconduct.</w:t>
                      </w:r>
                    </w:p>
                    <w:p w:rsidR="009537D2" w:rsidRDefault="009537D2" w:rsidP="009537D2">
                      <w:pPr>
                        <w:spacing w:before="145"/>
                        <w:ind w:left="330"/>
                        <w:rPr>
                          <w:b/>
                          <w:sz w:val="20"/>
                        </w:rPr>
                      </w:pPr>
                    </w:p>
                  </w:txbxContent>
                </v:textbox>
                <w10:wrap type="topAndBottom"/>
              </v:shape>
            </w:pict>
          </mc:Fallback>
        </mc:AlternateContent>
      </w:r>
      <w:r w:rsidR="00FA2D04" w:rsidRPr="00FA2D04">
        <w:rPr>
          <w:rFonts w:ascii="Calibri Light" w:hAnsi="Calibri Light" w:cs="Calibri Light"/>
          <w:color w:val="000000"/>
          <w:lang w:val="en-US"/>
        </w:rPr>
        <w:t>Where other options cannot mitigate the risks posed by the person under investigation remaining in the workplace, it is open to the agency to consider suspending the</w:t>
      </w:r>
      <w:r w:rsidR="00FA2D04">
        <w:rPr>
          <w:rFonts w:ascii="Calibri Light" w:hAnsi="Calibri Light" w:cs="Calibri Light"/>
          <w:color w:val="000000"/>
          <w:lang w:val="en-US"/>
        </w:rPr>
        <w:t>m from duty.</w:t>
      </w:r>
    </w:p>
    <w:p w:rsidR="00FA2D04" w:rsidRPr="00FA2D04" w:rsidRDefault="00FA2D04" w:rsidP="00FA2D04">
      <w:pPr>
        <w:spacing w:after="180" w:line="300" w:lineRule="atLeast"/>
        <w:rPr>
          <w:rFonts w:ascii="Calibri Light" w:hAnsi="Calibri Light" w:cs="Calibri Light"/>
          <w:color w:val="000000"/>
          <w:lang w:val="en-US"/>
        </w:rPr>
      </w:pPr>
      <w:r w:rsidRPr="00FA2D04">
        <w:rPr>
          <w:rFonts w:ascii="Calibri Light" w:hAnsi="Calibri Light" w:cs="Calibri Light"/>
          <w:color w:val="000000"/>
          <w:lang w:val="en-US"/>
        </w:rPr>
        <w:t xml:space="preserve">The starting point for considering whether to suspend an employee is whether the agency head (or delegate) believes on reasonable grounds that the employee may have breached the </w:t>
      </w:r>
      <w:r w:rsidR="009B2070">
        <w:rPr>
          <w:rFonts w:ascii="Calibri Light" w:hAnsi="Calibri Light" w:cs="Calibri Light"/>
          <w:color w:val="000000"/>
          <w:lang w:val="en-US"/>
        </w:rPr>
        <w:t>APS Code of Conduct (</w:t>
      </w:r>
      <w:r w:rsidRPr="00FA2D04">
        <w:rPr>
          <w:rFonts w:ascii="Calibri Light" w:hAnsi="Calibri Light" w:cs="Calibri Light"/>
          <w:color w:val="000000"/>
          <w:lang w:val="en-US"/>
        </w:rPr>
        <w:t>Code</w:t>
      </w:r>
      <w:r w:rsidR="009B2070">
        <w:rPr>
          <w:rFonts w:ascii="Calibri Light" w:hAnsi="Calibri Light" w:cs="Calibri Light"/>
          <w:color w:val="000000"/>
          <w:lang w:val="en-US"/>
        </w:rPr>
        <w:t>)</w:t>
      </w:r>
      <w:r w:rsidRPr="00FA2D04">
        <w:rPr>
          <w:rFonts w:ascii="Calibri Light" w:hAnsi="Calibri Light" w:cs="Calibri Light"/>
          <w:color w:val="000000"/>
          <w:lang w:val="en-US"/>
        </w:rPr>
        <w:t>, and that suspension is in the public interest or the agency’s interest.</w:t>
      </w:r>
    </w:p>
    <w:p w:rsidR="00FA2D04" w:rsidRPr="00FA2D04" w:rsidRDefault="00FA2D04" w:rsidP="00FA2D04">
      <w:pPr>
        <w:spacing w:after="180" w:line="300" w:lineRule="atLeast"/>
        <w:rPr>
          <w:rFonts w:ascii="Calibri Light" w:hAnsi="Calibri Light" w:cs="Calibri Light"/>
          <w:color w:val="000000"/>
          <w:lang w:val="en-US"/>
        </w:rPr>
      </w:pPr>
      <w:r w:rsidRPr="00FA2D04">
        <w:rPr>
          <w:rFonts w:ascii="Calibri Light" w:hAnsi="Calibri Light" w:cs="Calibri Light"/>
          <w:color w:val="000000"/>
          <w:lang w:val="en-US"/>
        </w:rPr>
        <w:t>It may be in the public or the agency’s interest to suspend an employee from duty where their continued presence in the workplace poses risks to, for example:</w:t>
      </w:r>
    </w:p>
    <w:p w:rsidR="00FA2D04" w:rsidRPr="00FA2D04" w:rsidRDefault="00FA2D04" w:rsidP="00C133C4">
      <w:pPr>
        <w:pStyle w:val="ListParagraph"/>
        <w:numPr>
          <w:ilvl w:val="0"/>
          <w:numId w:val="16"/>
        </w:numPr>
        <w:spacing w:after="180" w:line="300" w:lineRule="atLeast"/>
        <w:ind w:left="714" w:hanging="357"/>
        <w:contextualSpacing w:val="0"/>
        <w:rPr>
          <w:rFonts w:ascii="Calibri Light" w:hAnsi="Calibri Light" w:cs="Calibri Light"/>
          <w:color w:val="000000"/>
          <w:lang w:val="en-US"/>
        </w:rPr>
      </w:pPr>
      <w:r w:rsidRPr="00FA2D04">
        <w:rPr>
          <w:rFonts w:ascii="Calibri Light" w:hAnsi="Calibri Light" w:cs="Calibri Light"/>
          <w:color w:val="000000"/>
          <w:lang w:val="en-US"/>
        </w:rPr>
        <w:t>the safety and wellbeing of other employees or members of the public, including agency clients</w:t>
      </w:r>
    </w:p>
    <w:p w:rsidR="00FA2D04" w:rsidRPr="00FA2D04" w:rsidRDefault="00FA2D04" w:rsidP="00C133C4">
      <w:pPr>
        <w:pStyle w:val="ListParagraph"/>
        <w:numPr>
          <w:ilvl w:val="0"/>
          <w:numId w:val="16"/>
        </w:numPr>
        <w:spacing w:after="180" w:line="300" w:lineRule="atLeast"/>
        <w:ind w:left="714" w:hanging="357"/>
        <w:contextualSpacing w:val="0"/>
        <w:rPr>
          <w:rFonts w:ascii="Calibri Light" w:hAnsi="Calibri Light" w:cs="Calibri Light"/>
          <w:color w:val="000000"/>
          <w:lang w:val="en-US"/>
        </w:rPr>
      </w:pPr>
      <w:r w:rsidRPr="00FA2D04">
        <w:rPr>
          <w:rFonts w:ascii="Calibri Light" w:hAnsi="Calibri Light" w:cs="Calibri Light"/>
          <w:color w:val="000000"/>
          <w:lang w:val="en-US"/>
        </w:rPr>
        <w:t>the integrity of data held by the agency, including data about members of the public</w:t>
      </w:r>
    </w:p>
    <w:p w:rsidR="00FA2D04" w:rsidRPr="00FA2D04" w:rsidRDefault="00FA2D04" w:rsidP="00C133C4">
      <w:pPr>
        <w:pStyle w:val="ListParagraph"/>
        <w:numPr>
          <w:ilvl w:val="0"/>
          <w:numId w:val="16"/>
        </w:numPr>
        <w:spacing w:after="180" w:line="300" w:lineRule="atLeast"/>
        <w:ind w:left="714" w:hanging="357"/>
        <w:contextualSpacing w:val="0"/>
        <w:rPr>
          <w:rFonts w:ascii="Calibri Light" w:hAnsi="Calibri Light" w:cs="Calibri Light"/>
          <w:color w:val="000000"/>
          <w:lang w:val="en-US"/>
        </w:rPr>
      </w:pPr>
      <w:r w:rsidRPr="00FA2D04">
        <w:rPr>
          <w:rFonts w:ascii="Calibri Light" w:hAnsi="Calibri Light" w:cs="Calibri Light"/>
          <w:color w:val="000000"/>
          <w:lang w:val="en-US"/>
        </w:rPr>
        <w:t>the integrity of Commonwealth resources, including the public revenue—for example, where the allegations relate to fraud or misappropriation</w:t>
      </w:r>
    </w:p>
    <w:p w:rsidR="00FA2D04" w:rsidRPr="00FA2D04" w:rsidRDefault="00FA2D04" w:rsidP="00C133C4">
      <w:pPr>
        <w:pStyle w:val="ListParagraph"/>
        <w:numPr>
          <w:ilvl w:val="0"/>
          <w:numId w:val="16"/>
        </w:numPr>
        <w:spacing w:after="180" w:line="300" w:lineRule="atLeast"/>
        <w:ind w:left="714" w:hanging="357"/>
        <w:contextualSpacing w:val="0"/>
        <w:rPr>
          <w:rFonts w:ascii="Calibri Light" w:hAnsi="Calibri Light" w:cs="Calibri Light"/>
          <w:color w:val="000000"/>
          <w:lang w:val="en-US"/>
        </w:rPr>
      </w:pPr>
      <w:r w:rsidRPr="00FA2D04">
        <w:rPr>
          <w:rFonts w:ascii="Calibri Light" w:hAnsi="Calibri Light" w:cs="Calibri Light"/>
          <w:color w:val="000000"/>
          <w:lang w:val="en-US"/>
        </w:rPr>
        <w:t>public confidence in the agency or the APS as a whole, including where the allegations may undermine public confidence in the agency’s capacity to perform its functions.</w:t>
      </w:r>
    </w:p>
    <w:p w:rsidR="00707D3E" w:rsidRDefault="00FA2D04" w:rsidP="00C133C4">
      <w:pPr>
        <w:spacing w:before="120" w:after="180" w:line="300" w:lineRule="atLeast"/>
        <w:rPr>
          <w:rFonts w:ascii="Calibri Light" w:hAnsi="Calibri Light" w:cs="Calibri Light"/>
          <w:color w:val="000000"/>
          <w:lang w:val="en-US"/>
        </w:rPr>
      </w:pPr>
      <w:r w:rsidRPr="00FA2D04">
        <w:rPr>
          <w:rFonts w:ascii="Calibri Light" w:hAnsi="Calibri Light" w:cs="Calibri Light"/>
          <w:color w:val="000000"/>
          <w:lang w:val="en-US"/>
        </w:rPr>
        <w:t>Agencies may also wish to consider suspension where the alleged misconduct is serious—especially if there is a risk that the conduct may be repeated—or where there is a real risk of the investigation being compromised by the presence in the workplace of the person under investigation, and the risk cannot be mitigated in other ways.</w:t>
      </w:r>
    </w:p>
    <w:p w:rsidR="00BC2196" w:rsidRDefault="00BC2196"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Default="00C133C4" w:rsidP="00AF37A3">
      <w:pPr>
        <w:spacing w:after="180" w:line="300" w:lineRule="atLeast"/>
        <w:rPr>
          <w:rFonts w:ascii="Calibri Light" w:hAnsi="Calibri Light" w:cs="Calibri Light"/>
          <w:color w:val="000000"/>
          <w:lang w:val="en-US"/>
        </w:rPr>
      </w:pPr>
    </w:p>
    <w:p w:rsidR="00C133C4" w:rsidRPr="00707D3E" w:rsidRDefault="00C133C4" w:rsidP="00AF37A3">
      <w:pPr>
        <w:spacing w:after="180" w:line="300" w:lineRule="atLeast"/>
        <w:rPr>
          <w:rFonts w:ascii="Calibri Light" w:hAnsi="Calibri Light" w:cs="Calibri Light"/>
          <w:color w:val="000000"/>
          <w:lang w:val="en-US"/>
        </w:rPr>
      </w:pPr>
    </w:p>
    <w:p w:rsidR="009537D2" w:rsidRDefault="009537D2" w:rsidP="00FA2D04">
      <w:pPr>
        <w:spacing w:after="180" w:line="300" w:lineRule="atLeast"/>
        <w:rPr>
          <w:rFonts w:ascii="Calibri Light" w:hAnsi="Calibri Light" w:cs="Calibri Light"/>
          <w:color w:val="000000"/>
          <w:lang w:val="en-US"/>
        </w:rPr>
      </w:pPr>
    </w:p>
    <w:p w:rsidR="009537D2" w:rsidRDefault="009537D2" w:rsidP="009537D2">
      <w:pPr>
        <w:spacing w:after="180" w:line="300" w:lineRule="atLeast"/>
      </w:pPr>
      <w:r w:rsidRPr="009537D2">
        <w:rPr>
          <w:rFonts w:ascii="Calibri Light" w:hAnsi="Calibri Light" w:cs="Calibri Light"/>
          <w:color w:val="000000"/>
          <w:lang w:val="en-US"/>
        </w:rPr>
        <w:t xml:space="preserve"> </w:t>
      </w:r>
    </w:p>
    <w:p w:rsidR="005E09FE" w:rsidRDefault="005E09FE" w:rsidP="009537D2">
      <w:pPr>
        <w:pStyle w:val="BodyText"/>
        <w:sectPr w:rsidR="005E09FE" w:rsidSect="009537D2">
          <w:type w:val="continuous"/>
          <w:pgSz w:w="11900" w:h="16840"/>
          <w:pgMar w:top="1701" w:right="1418" w:bottom="1418" w:left="1361" w:header="720" w:footer="720" w:gutter="369"/>
          <w:pgNumType w:start="1"/>
          <w:cols w:num="2" w:space="369"/>
          <w:noEndnote/>
          <w:titlePg/>
          <w:docGrid w:linePitch="326"/>
        </w:sectPr>
      </w:pPr>
    </w:p>
    <w:p w:rsidR="005E09FE" w:rsidRPr="005E09FE" w:rsidRDefault="005E09FE" w:rsidP="005E09FE">
      <w:pPr>
        <w:rPr>
          <w:lang w:val="en-US"/>
        </w:rPr>
      </w:pPr>
    </w:p>
    <w:sectPr w:rsidR="005E09FE" w:rsidRPr="005E09FE" w:rsidSect="00902CDB">
      <w:type w:val="continuous"/>
      <w:pgSz w:w="11900" w:h="16840"/>
      <w:pgMar w:top="5387" w:right="1418" w:bottom="1418" w:left="1361" w:header="720" w:footer="720" w:gutter="369"/>
      <w:pgNumType w:start="1"/>
      <w:cols w:space="36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59" w:rsidRDefault="001B6259" w:rsidP="00084D3A">
      <w:r>
        <w:separator/>
      </w:r>
    </w:p>
  </w:endnote>
  <w:endnote w:type="continuationSeparator" w:id="0">
    <w:p w:rsidR="001B6259" w:rsidRDefault="001B6259" w:rsidP="000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aleway">
    <w:altName w:val="Times New Roman"/>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899273"/>
      <w:docPartObj>
        <w:docPartGallery w:val="Page Numbers (Bottom of Page)"/>
        <w:docPartUnique/>
      </w:docPartObj>
    </w:sdtPr>
    <w:sdtEndPr>
      <w:rPr>
        <w:rStyle w:val="PageNumber"/>
      </w:rPr>
    </w:sdtEndPr>
    <w:sdtContent>
      <w:p w:rsidR="0064000B" w:rsidRDefault="0064000B" w:rsidP="001A28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000B" w:rsidRDefault="00640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7410196"/>
      <w:docPartObj>
        <w:docPartGallery w:val="Page Numbers (Bottom of Page)"/>
        <w:docPartUnique/>
      </w:docPartObj>
    </w:sdtPr>
    <w:sdtEndPr>
      <w:rPr>
        <w:rStyle w:val="PageNumber"/>
      </w:rPr>
    </w:sdtEndPr>
    <w:sdtContent>
      <w:p w:rsidR="0064000B" w:rsidRDefault="0064000B" w:rsidP="002F5E22">
        <w:pPr>
          <w:pStyle w:val="Footer"/>
          <w:framePr w:wrap="none" w:vAnchor="text" w:hAnchor="page" w:x="6108" w:y="337"/>
          <w:rPr>
            <w:rStyle w:val="PageNumber"/>
          </w:rPr>
        </w:pPr>
        <w:r w:rsidRPr="0064000B">
          <w:rPr>
            <w:rStyle w:val="PageNumber"/>
            <w:rFonts w:ascii="Calibri Light" w:hAnsi="Calibri Light" w:cs="Calibri Light"/>
            <w:sz w:val="20"/>
            <w:szCs w:val="20"/>
          </w:rPr>
          <w:fldChar w:fldCharType="begin"/>
        </w:r>
        <w:r w:rsidRPr="0064000B">
          <w:rPr>
            <w:rStyle w:val="PageNumber"/>
            <w:rFonts w:ascii="Calibri Light" w:hAnsi="Calibri Light" w:cs="Calibri Light"/>
            <w:sz w:val="20"/>
            <w:szCs w:val="20"/>
          </w:rPr>
          <w:instrText xml:space="preserve"> PAGE </w:instrText>
        </w:r>
        <w:r w:rsidRPr="0064000B">
          <w:rPr>
            <w:rStyle w:val="PageNumber"/>
            <w:rFonts w:ascii="Calibri Light" w:hAnsi="Calibri Light" w:cs="Calibri Light"/>
            <w:sz w:val="20"/>
            <w:szCs w:val="20"/>
          </w:rPr>
          <w:fldChar w:fldCharType="separate"/>
        </w:r>
        <w:r w:rsidR="006B3538">
          <w:rPr>
            <w:rStyle w:val="PageNumber"/>
            <w:rFonts w:ascii="Calibri Light" w:hAnsi="Calibri Light" w:cs="Calibri Light"/>
            <w:noProof/>
            <w:sz w:val="20"/>
            <w:szCs w:val="20"/>
          </w:rPr>
          <w:t>2</w:t>
        </w:r>
        <w:r w:rsidRPr="0064000B">
          <w:rPr>
            <w:rStyle w:val="PageNumber"/>
            <w:rFonts w:ascii="Calibri Light" w:hAnsi="Calibri Light" w:cs="Calibri Light"/>
            <w:sz w:val="20"/>
            <w:szCs w:val="20"/>
          </w:rPr>
          <w:fldChar w:fldCharType="end"/>
        </w:r>
      </w:p>
    </w:sdtContent>
  </w:sdt>
  <w:p w:rsidR="0064000B" w:rsidRDefault="00640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Light" w:hAnsi="Calibri Light" w:cs="Calibri Light"/>
        <w:sz w:val="20"/>
        <w:szCs w:val="20"/>
      </w:rPr>
      <w:id w:val="452835345"/>
      <w:docPartObj>
        <w:docPartGallery w:val="Page Numbers (Bottom of Page)"/>
        <w:docPartUnique/>
      </w:docPartObj>
    </w:sdtPr>
    <w:sdtEndPr>
      <w:rPr>
        <w:rStyle w:val="PageNumber"/>
      </w:rPr>
    </w:sdtEndPr>
    <w:sdtContent>
      <w:p w:rsidR="00C30985" w:rsidRPr="00C30985" w:rsidRDefault="00C30985" w:rsidP="005E09FE">
        <w:pPr>
          <w:pStyle w:val="Footer"/>
          <w:framePr w:wrap="none" w:vAnchor="text" w:hAnchor="margin" w:xAlign="center" w:y="386"/>
          <w:rPr>
            <w:rStyle w:val="PageNumber"/>
            <w:rFonts w:ascii="Calibri Light" w:hAnsi="Calibri Light" w:cs="Calibri Light"/>
            <w:sz w:val="20"/>
            <w:szCs w:val="20"/>
          </w:rPr>
        </w:pPr>
        <w:r w:rsidRPr="00C30985">
          <w:rPr>
            <w:rStyle w:val="PageNumber"/>
            <w:rFonts w:ascii="Calibri Light" w:hAnsi="Calibri Light" w:cs="Calibri Light"/>
            <w:sz w:val="20"/>
            <w:szCs w:val="20"/>
          </w:rPr>
          <w:fldChar w:fldCharType="begin"/>
        </w:r>
        <w:r w:rsidRPr="00C30985">
          <w:rPr>
            <w:rStyle w:val="PageNumber"/>
            <w:rFonts w:ascii="Calibri Light" w:hAnsi="Calibri Light" w:cs="Calibri Light"/>
            <w:sz w:val="20"/>
            <w:szCs w:val="20"/>
          </w:rPr>
          <w:instrText xml:space="preserve"> PAGE </w:instrText>
        </w:r>
        <w:r w:rsidRPr="00C30985">
          <w:rPr>
            <w:rStyle w:val="PageNumber"/>
            <w:rFonts w:ascii="Calibri Light" w:hAnsi="Calibri Light" w:cs="Calibri Light"/>
            <w:sz w:val="20"/>
            <w:szCs w:val="20"/>
          </w:rPr>
          <w:fldChar w:fldCharType="separate"/>
        </w:r>
        <w:r w:rsidR="006B3538">
          <w:rPr>
            <w:rStyle w:val="PageNumber"/>
            <w:rFonts w:ascii="Calibri Light" w:hAnsi="Calibri Light" w:cs="Calibri Light"/>
            <w:noProof/>
            <w:sz w:val="20"/>
            <w:szCs w:val="20"/>
          </w:rPr>
          <w:t>1</w:t>
        </w:r>
        <w:r w:rsidRPr="00C30985">
          <w:rPr>
            <w:rStyle w:val="PageNumber"/>
            <w:rFonts w:ascii="Calibri Light" w:hAnsi="Calibri Light" w:cs="Calibri Light"/>
            <w:sz w:val="20"/>
            <w:szCs w:val="20"/>
          </w:rPr>
          <w:fldChar w:fldCharType="end"/>
        </w:r>
      </w:p>
    </w:sdtContent>
  </w:sdt>
  <w:p w:rsidR="00C30985" w:rsidRDefault="00C3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59" w:rsidRDefault="001B6259" w:rsidP="00084D3A">
      <w:r>
        <w:separator/>
      </w:r>
    </w:p>
  </w:footnote>
  <w:footnote w:type="continuationSeparator" w:id="0">
    <w:p w:rsidR="001B6259" w:rsidRDefault="001B6259" w:rsidP="0008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85" w:rsidRDefault="00C30985">
    <w:pPr>
      <w:pStyle w:val="Header"/>
    </w:pPr>
    <w:r>
      <w:rPr>
        <w:noProof/>
        <w:lang w:eastAsia="en-AU"/>
      </w:rPr>
      <w:drawing>
        <wp:anchor distT="0" distB="0" distL="114300" distR="114300" simplePos="0" relativeHeight="251663360" behindDoc="1" locked="0" layoutInCell="1" allowOverlap="1" wp14:anchorId="4A4FA615" wp14:editId="219C8F3A">
          <wp:simplePos x="0" y="0"/>
          <wp:positionH relativeFrom="column">
            <wp:posOffset>4680728</wp:posOffset>
          </wp:positionH>
          <wp:positionV relativeFrom="paragraph">
            <wp:posOffset>-441325</wp:posOffset>
          </wp:positionV>
          <wp:extent cx="1753200" cy="1296000"/>
          <wp:effectExtent l="0" t="0" r="0" b="0"/>
          <wp:wrapNone/>
          <wp:docPr id="328" name="Picture 32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B2" w:rsidRDefault="000B48CB" w:rsidP="00DA00A7">
    <w:pPr>
      <w:pStyle w:val="Header"/>
      <w:tabs>
        <w:tab w:val="clear" w:pos="4513"/>
        <w:tab w:val="clear" w:pos="9026"/>
        <w:tab w:val="left" w:pos="3160"/>
      </w:tabs>
    </w:pPr>
    <w:r>
      <w:rPr>
        <w:noProof/>
        <w:lang w:eastAsia="en-AU"/>
      </w:rPr>
      <w:drawing>
        <wp:anchor distT="0" distB="0" distL="114300" distR="114300" simplePos="0" relativeHeight="251665408" behindDoc="1" locked="0" layoutInCell="1" allowOverlap="1" wp14:anchorId="05D77382" wp14:editId="0D7EBE1D">
          <wp:simplePos x="0" y="0"/>
          <wp:positionH relativeFrom="column">
            <wp:posOffset>-732790</wp:posOffset>
          </wp:positionH>
          <wp:positionV relativeFrom="paragraph">
            <wp:posOffset>-39103</wp:posOffset>
          </wp:positionV>
          <wp:extent cx="2857500" cy="533400"/>
          <wp:effectExtent l="0" t="0" r="0" b="0"/>
          <wp:wrapNone/>
          <wp:docPr id="329" name="Picture 329" descr="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ustralian Public Service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857500" cy="5334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6C7E5143" wp14:editId="51B5B6BD">
          <wp:simplePos x="0" y="0"/>
          <wp:positionH relativeFrom="column">
            <wp:posOffset>4741136</wp:posOffset>
          </wp:positionH>
          <wp:positionV relativeFrom="paragraph">
            <wp:posOffset>-443230</wp:posOffset>
          </wp:positionV>
          <wp:extent cx="1753200" cy="1296000"/>
          <wp:effectExtent l="0" t="0" r="0" b="0"/>
          <wp:wrapNone/>
          <wp:docPr id="330" name="Picture 33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3200" cy="1296000"/>
                  </a:xfrm>
                  <a:prstGeom prst="rect">
                    <a:avLst/>
                  </a:prstGeom>
                </pic:spPr>
              </pic:pic>
            </a:graphicData>
          </a:graphic>
          <wp14:sizeRelH relativeFrom="margin">
            <wp14:pctWidth>0</wp14:pctWidth>
          </wp14:sizeRelH>
          <wp14:sizeRelV relativeFrom="margin">
            <wp14:pctHeight>0</wp14:pctHeight>
          </wp14:sizeRelV>
        </wp:anchor>
      </w:drawing>
    </w:r>
    <w:r w:rsidR="00DA00A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FA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BCD6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60D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A6B7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ED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626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FA2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96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740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1054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E4C18"/>
    <w:multiLevelType w:val="hybridMultilevel"/>
    <w:tmpl w:val="5E8E09A6"/>
    <w:lvl w:ilvl="0" w:tplc="D414A15E">
      <w:start w:val="1"/>
      <w:numFmt w:val="bullet"/>
      <w:lvlText w:val=""/>
      <w:lvlJc w:val="left"/>
      <w:pPr>
        <w:ind w:left="720" w:hanging="360"/>
      </w:pPr>
      <w:rPr>
        <w:rFonts w:ascii="Symbol" w:hAnsi="Symbol" w:hint="default"/>
        <w:b w:val="0"/>
        <w:bCs w:val="0"/>
        <w:i w:val="0"/>
        <w:iCs w:val="0"/>
        <w:color w:val="17B4C2"/>
        <w:w w:val="100"/>
        <w:sz w:val="22"/>
        <w:szCs w:val="17"/>
      </w:rPr>
    </w:lvl>
    <w:lvl w:ilvl="1" w:tplc="625A85B2">
      <w:numFmt w:val="bullet"/>
      <w:lvlText w:val="•"/>
      <w:lvlJc w:val="left"/>
      <w:pPr>
        <w:ind w:left="1080" w:firstLine="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C92FCC"/>
    <w:multiLevelType w:val="hybridMultilevel"/>
    <w:tmpl w:val="D1843980"/>
    <w:lvl w:ilvl="0" w:tplc="D414A15E">
      <w:start w:val="1"/>
      <w:numFmt w:val="bullet"/>
      <w:lvlText w:val=""/>
      <w:lvlJc w:val="left"/>
      <w:pPr>
        <w:ind w:left="360" w:hanging="360"/>
      </w:pPr>
      <w:rPr>
        <w:rFonts w:ascii="Symbol" w:hAnsi="Symbol" w:hint="default"/>
        <w:b w:val="0"/>
        <w:bCs w:val="0"/>
        <w:i w:val="0"/>
        <w:iCs w:val="0"/>
        <w:color w:val="17B4C2"/>
        <w:w w:val="100"/>
        <w:sz w:val="22"/>
        <w:szCs w:val="1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A9131D1"/>
    <w:multiLevelType w:val="hybridMultilevel"/>
    <w:tmpl w:val="C4627610"/>
    <w:lvl w:ilvl="0" w:tplc="D414A15E">
      <w:start w:val="1"/>
      <w:numFmt w:val="bullet"/>
      <w:lvlText w:val=""/>
      <w:lvlJc w:val="left"/>
      <w:pPr>
        <w:ind w:left="720" w:hanging="360"/>
      </w:pPr>
      <w:rPr>
        <w:rFonts w:ascii="Symbol" w:hAnsi="Symbol" w:hint="default"/>
        <w:b w:val="0"/>
        <w:bCs w:val="0"/>
        <w:i w:val="0"/>
        <w:iCs w:val="0"/>
        <w:color w:val="17B4C2"/>
        <w:w w:val="100"/>
        <w:sz w:val="22"/>
        <w:szCs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2A0614"/>
    <w:multiLevelType w:val="hybridMultilevel"/>
    <w:tmpl w:val="04B28A8C"/>
    <w:lvl w:ilvl="0" w:tplc="B628B154">
      <w:start w:val="1"/>
      <w:numFmt w:val="bullet"/>
      <w:lvlText w:val="o"/>
      <w:lvlJc w:val="left"/>
      <w:pPr>
        <w:ind w:left="1080" w:hanging="360"/>
      </w:pPr>
      <w:rPr>
        <w:rFonts w:ascii="Symbol" w:hAnsi="Symbol" w:cs="Courier New" w:hint="default"/>
        <w:color w:val="17B4C2"/>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F324FC5"/>
    <w:multiLevelType w:val="hybridMultilevel"/>
    <w:tmpl w:val="1DF22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90592F"/>
    <w:multiLevelType w:val="hybridMultilevel"/>
    <w:tmpl w:val="E1E22720"/>
    <w:lvl w:ilvl="0" w:tplc="243EDFA8">
      <w:start w:val="1"/>
      <w:numFmt w:val="bullet"/>
      <w:pStyle w:val="bullets"/>
      <w:lvlText w:val=""/>
      <w:lvlJc w:val="left"/>
      <w:pPr>
        <w:ind w:left="284" w:hanging="284"/>
      </w:pPr>
      <w:rPr>
        <w:rFonts w:ascii="Symbol" w:hAnsi="Symbol" w:hint="default"/>
        <w:color w:val="33979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1"/>
  </w:num>
  <w:num w:numId="15">
    <w:abstractNumId w:val="1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61"/>
    <w:rsid w:val="0003626E"/>
    <w:rsid w:val="000705EE"/>
    <w:rsid w:val="000806D3"/>
    <w:rsid w:val="00084D3A"/>
    <w:rsid w:val="000A3AF8"/>
    <w:rsid w:val="000B48CB"/>
    <w:rsid w:val="000C1BEB"/>
    <w:rsid w:val="00165BD4"/>
    <w:rsid w:val="001B6259"/>
    <w:rsid w:val="001F2FD8"/>
    <w:rsid w:val="00230E95"/>
    <w:rsid w:val="00256C23"/>
    <w:rsid w:val="00297CBF"/>
    <w:rsid w:val="002F5E22"/>
    <w:rsid w:val="002F66F7"/>
    <w:rsid w:val="003847D6"/>
    <w:rsid w:val="003A06FE"/>
    <w:rsid w:val="00402406"/>
    <w:rsid w:val="00433E35"/>
    <w:rsid w:val="004B536B"/>
    <w:rsid w:val="004C0F59"/>
    <w:rsid w:val="00515524"/>
    <w:rsid w:val="005241B2"/>
    <w:rsid w:val="00577DE8"/>
    <w:rsid w:val="00581B00"/>
    <w:rsid w:val="005A4004"/>
    <w:rsid w:val="005D2DBC"/>
    <w:rsid w:val="005E09FE"/>
    <w:rsid w:val="006117B9"/>
    <w:rsid w:val="0064000B"/>
    <w:rsid w:val="0067722C"/>
    <w:rsid w:val="00697160"/>
    <w:rsid w:val="006B3538"/>
    <w:rsid w:val="006F1388"/>
    <w:rsid w:val="0070227E"/>
    <w:rsid w:val="00707D3E"/>
    <w:rsid w:val="00725D3D"/>
    <w:rsid w:val="007278DC"/>
    <w:rsid w:val="007A06C0"/>
    <w:rsid w:val="007A2202"/>
    <w:rsid w:val="00813471"/>
    <w:rsid w:val="00820DCE"/>
    <w:rsid w:val="008244A3"/>
    <w:rsid w:val="008A6E39"/>
    <w:rsid w:val="008B5CA1"/>
    <w:rsid w:val="008D0C13"/>
    <w:rsid w:val="00902CDB"/>
    <w:rsid w:val="009537D2"/>
    <w:rsid w:val="0098419C"/>
    <w:rsid w:val="009928B0"/>
    <w:rsid w:val="009B1E1A"/>
    <w:rsid w:val="009B2070"/>
    <w:rsid w:val="00A96AB9"/>
    <w:rsid w:val="00AF37A3"/>
    <w:rsid w:val="00AF7288"/>
    <w:rsid w:val="00BC2196"/>
    <w:rsid w:val="00BF5CFA"/>
    <w:rsid w:val="00C133C4"/>
    <w:rsid w:val="00C30985"/>
    <w:rsid w:val="00C85F99"/>
    <w:rsid w:val="00CC77A1"/>
    <w:rsid w:val="00D6641B"/>
    <w:rsid w:val="00D74549"/>
    <w:rsid w:val="00DA00A7"/>
    <w:rsid w:val="00DC471A"/>
    <w:rsid w:val="00DF4A85"/>
    <w:rsid w:val="00E1480A"/>
    <w:rsid w:val="00E67761"/>
    <w:rsid w:val="00EE5554"/>
    <w:rsid w:val="00EF6413"/>
    <w:rsid w:val="00F02718"/>
    <w:rsid w:val="00F10D44"/>
    <w:rsid w:val="00F64FD7"/>
    <w:rsid w:val="00F936B1"/>
    <w:rsid w:val="00FA2D04"/>
    <w:rsid w:val="00FA6E6A"/>
    <w:rsid w:val="00FE2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50926"/>
  <w15:chartTrackingRefBased/>
  <w15:docId w15:val="{AEF3EEB3-1102-EB41-B45C-978B36B2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7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581B00"/>
    <w:pPr>
      <w:suppressAutoHyphens/>
      <w:autoSpaceDE w:val="0"/>
      <w:autoSpaceDN w:val="0"/>
      <w:adjustRightInd w:val="0"/>
      <w:spacing w:before="300" w:after="60" w:line="340" w:lineRule="atLeast"/>
      <w:textAlignment w:val="center"/>
      <w:outlineLvl w:val="1"/>
    </w:pPr>
    <w:rPr>
      <w:rFonts w:ascii="Calibri" w:hAnsi="Calibri" w:cs="Calibri"/>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81B00"/>
    <w:rPr>
      <w:rFonts w:ascii="Calibri" w:hAnsi="Calibri" w:cs="Calibri"/>
      <w:b/>
      <w:bCs/>
      <w:color w:val="000000"/>
      <w:sz w:val="28"/>
      <w:szCs w:val="28"/>
      <w:lang w:val="en-US"/>
    </w:rPr>
  </w:style>
  <w:style w:type="paragraph" w:styleId="BodyText">
    <w:name w:val="Body Text"/>
    <w:link w:val="BodyTextChar"/>
    <w:uiPriority w:val="99"/>
    <w:rsid w:val="009B1E1A"/>
    <w:pPr>
      <w:suppressAutoHyphens/>
      <w:autoSpaceDE w:val="0"/>
      <w:autoSpaceDN w:val="0"/>
      <w:adjustRightInd w:val="0"/>
      <w:spacing w:after="180" w:line="300" w:lineRule="atLeast"/>
      <w:textAlignment w:val="center"/>
    </w:pPr>
    <w:rPr>
      <w:rFonts w:ascii="Calibri Light" w:hAnsi="Calibri Light" w:cs="Calibri Light"/>
      <w:color w:val="000000"/>
      <w:lang w:val="en-US"/>
    </w:rPr>
  </w:style>
  <w:style w:type="character" w:customStyle="1" w:styleId="BodyTextChar">
    <w:name w:val="Body Text Char"/>
    <w:basedOn w:val="DefaultParagraphFont"/>
    <w:link w:val="BodyText"/>
    <w:uiPriority w:val="99"/>
    <w:rsid w:val="009B1E1A"/>
    <w:rPr>
      <w:rFonts w:ascii="Calibri Light" w:hAnsi="Calibri Light" w:cs="Calibri Light"/>
      <w:color w:val="000000"/>
      <w:lang w:val="en-US"/>
    </w:rPr>
  </w:style>
  <w:style w:type="paragraph" w:customStyle="1" w:styleId="bodytextlastline">
    <w:name w:val="body text last line"/>
    <w:basedOn w:val="BodyText"/>
    <w:uiPriority w:val="99"/>
    <w:rsid w:val="00E67761"/>
  </w:style>
  <w:style w:type="paragraph" w:customStyle="1" w:styleId="bullets">
    <w:name w:val="bullets"/>
    <w:uiPriority w:val="99"/>
    <w:rsid w:val="005A4004"/>
    <w:pPr>
      <w:numPr>
        <w:numId w:val="1"/>
      </w:numPr>
      <w:tabs>
        <w:tab w:val="left" w:pos="260"/>
      </w:tabs>
      <w:suppressAutoHyphens/>
      <w:autoSpaceDE w:val="0"/>
      <w:autoSpaceDN w:val="0"/>
      <w:adjustRightInd w:val="0"/>
      <w:spacing w:after="60" w:line="300" w:lineRule="atLeast"/>
      <w:textAlignment w:val="center"/>
    </w:pPr>
    <w:rPr>
      <w:rFonts w:ascii="Calibri Light" w:hAnsi="Calibri Light" w:cs="Calibri Light"/>
      <w:color w:val="000000"/>
      <w:lang w:val="en-US"/>
    </w:rPr>
  </w:style>
  <w:style w:type="character" w:customStyle="1" w:styleId="bold">
    <w:name w:val="bold"/>
    <w:uiPriority w:val="99"/>
    <w:rsid w:val="00E67761"/>
    <w:rPr>
      <w:b/>
      <w:bCs/>
    </w:rPr>
  </w:style>
  <w:style w:type="paragraph" w:customStyle="1" w:styleId="Quotebodytext">
    <w:name w:val="Quote body text"/>
    <w:basedOn w:val="BodyText"/>
    <w:qFormat/>
    <w:rsid w:val="002F66F7"/>
    <w:pPr>
      <w:pBdr>
        <w:bottom w:val="single" w:sz="4" w:space="11" w:color="007D84"/>
      </w:pBdr>
      <w:tabs>
        <w:tab w:val="left" w:pos="284"/>
      </w:tabs>
      <w:spacing w:after="340"/>
      <w:ind w:left="227" w:right="227"/>
    </w:pPr>
    <w:rPr>
      <w:rFonts w:ascii="Calibri" w:hAnsi="Calibri" w:cs="Calibri"/>
    </w:rPr>
  </w:style>
  <w:style w:type="paragraph" w:customStyle="1" w:styleId="Quoteheading">
    <w:name w:val="Quote heading"/>
    <w:next w:val="BodyText"/>
    <w:qFormat/>
    <w:rsid w:val="0064000B"/>
    <w:pPr>
      <w:pBdr>
        <w:top w:val="single" w:sz="4" w:space="7" w:color="007D84"/>
      </w:pBdr>
      <w:ind w:left="227" w:right="227"/>
    </w:pPr>
    <w:rPr>
      <w:rFonts w:ascii="Calibri" w:hAnsi="Calibri" w:cs="Calibri"/>
      <w:b/>
      <w:bCs/>
      <w:color w:val="000000"/>
      <w:sz w:val="28"/>
      <w:szCs w:val="28"/>
      <w:lang w:val="en-US"/>
    </w:rPr>
  </w:style>
  <w:style w:type="paragraph" w:customStyle="1" w:styleId="boldheading">
    <w:name w:val="bold heading"/>
    <w:basedOn w:val="Normal"/>
    <w:uiPriority w:val="99"/>
    <w:rsid w:val="009B1E1A"/>
    <w:pPr>
      <w:suppressAutoHyphens/>
      <w:autoSpaceDE w:val="0"/>
      <w:autoSpaceDN w:val="0"/>
      <w:adjustRightInd w:val="0"/>
      <w:spacing w:before="170" w:after="57" w:line="280" w:lineRule="atLeast"/>
      <w:textAlignment w:val="center"/>
    </w:pPr>
    <w:rPr>
      <w:rFonts w:ascii="Raleway" w:hAnsi="Raleway" w:cs="Raleway"/>
      <w:b/>
      <w:bCs/>
      <w:color w:val="000000"/>
      <w:lang w:val="en-US"/>
    </w:rPr>
  </w:style>
  <w:style w:type="paragraph" w:customStyle="1" w:styleId="Factsheet">
    <w:name w:val="Fact sheet"/>
    <w:basedOn w:val="boldheading"/>
    <w:qFormat/>
    <w:rsid w:val="00581B00"/>
    <w:pPr>
      <w:spacing w:before="0" w:after="0"/>
      <w:ind w:left="57"/>
    </w:pPr>
    <w:rPr>
      <w:rFonts w:ascii="Arial" w:hAnsi="Arial" w:cs="Arial"/>
      <w:color w:val="595959" w:themeColor="text1" w:themeTint="A6"/>
      <w:sz w:val="30"/>
      <w:szCs w:val="30"/>
    </w:rPr>
  </w:style>
  <w:style w:type="paragraph" w:customStyle="1" w:styleId="Heading1-title">
    <w:name w:val="Heading 1 - title"/>
    <w:basedOn w:val="Heading1"/>
    <w:next w:val="Heading1"/>
    <w:qFormat/>
    <w:rsid w:val="00AF7288"/>
    <w:pPr>
      <w:spacing w:before="0" w:after="240"/>
    </w:pPr>
    <w:rPr>
      <w:rFonts w:ascii="Calibri Light" w:hAnsi="Calibri Light" w:cs="Calibri Light"/>
      <w:color w:val="000000"/>
      <w:sz w:val="72"/>
      <w:szCs w:val="72"/>
      <w:lang w:val="en-US"/>
    </w:rPr>
  </w:style>
  <w:style w:type="paragraph" w:styleId="FootnoteText">
    <w:name w:val="footnote text"/>
    <w:basedOn w:val="Normal"/>
    <w:link w:val="FootnoteTextChar"/>
    <w:uiPriority w:val="99"/>
    <w:semiHidden/>
    <w:unhideWhenUsed/>
    <w:rsid w:val="00084D3A"/>
    <w:rPr>
      <w:sz w:val="20"/>
      <w:szCs w:val="20"/>
    </w:rPr>
  </w:style>
  <w:style w:type="character" w:customStyle="1" w:styleId="FootnoteTextChar">
    <w:name w:val="Footnote Text Char"/>
    <w:basedOn w:val="DefaultParagraphFont"/>
    <w:link w:val="FootnoteText"/>
    <w:uiPriority w:val="99"/>
    <w:semiHidden/>
    <w:rsid w:val="00084D3A"/>
    <w:rPr>
      <w:sz w:val="20"/>
      <w:szCs w:val="20"/>
    </w:rPr>
  </w:style>
  <w:style w:type="character" w:styleId="FootnoteReference">
    <w:name w:val="footnote reference"/>
    <w:basedOn w:val="DefaultParagraphFont"/>
    <w:uiPriority w:val="99"/>
    <w:semiHidden/>
    <w:unhideWhenUsed/>
    <w:rsid w:val="00084D3A"/>
    <w:rPr>
      <w:vertAlign w:val="superscript"/>
    </w:rPr>
  </w:style>
  <w:style w:type="character" w:styleId="Hyperlink">
    <w:name w:val="Hyperlink"/>
    <w:basedOn w:val="DefaultParagraphFont"/>
    <w:uiPriority w:val="99"/>
    <w:rsid w:val="008A6E39"/>
    <w:rPr>
      <w:color w:val="B292CA"/>
      <w:w w:val="100"/>
      <w:u w:val="thick" w:color="B292CA"/>
    </w:rPr>
  </w:style>
  <w:style w:type="paragraph" w:customStyle="1" w:styleId="footnote">
    <w:name w:val="footnote"/>
    <w:basedOn w:val="BodyText"/>
    <w:qFormat/>
    <w:rsid w:val="00902CDB"/>
    <w:pPr>
      <w:spacing w:after="60" w:line="200" w:lineRule="atLeast"/>
    </w:pPr>
    <w:rPr>
      <w:sz w:val="20"/>
      <w:szCs w:val="16"/>
    </w:rPr>
  </w:style>
  <w:style w:type="paragraph" w:customStyle="1" w:styleId="Hyperlink1">
    <w:name w:val="Hyperlink 1"/>
    <w:next w:val="Normal"/>
    <w:link w:val="Hyperlink1Char"/>
    <w:qFormat/>
    <w:rsid w:val="005D2DBC"/>
    <w:rPr>
      <w:rFonts w:ascii="Calibri Light" w:hAnsi="Calibri Light" w:cs="Calibri Light"/>
      <w:color w:val="000000"/>
      <w:sz w:val="16"/>
      <w:szCs w:val="16"/>
      <w:u w:val="single"/>
      <w:lang w:val="en-US"/>
    </w:rPr>
  </w:style>
  <w:style w:type="character" w:customStyle="1" w:styleId="Hyperlink1Char">
    <w:name w:val="Hyperlink 1 Char"/>
    <w:basedOn w:val="DefaultParagraphFont"/>
    <w:link w:val="Hyperlink1"/>
    <w:rsid w:val="005D2DBC"/>
    <w:rPr>
      <w:rFonts w:ascii="Calibri Light" w:hAnsi="Calibri Light" w:cs="Calibri Light"/>
      <w:color w:val="000000"/>
      <w:sz w:val="16"/>
      <w:szCs w:val="16"/>
      <w:u w:val="single"/>
      <w:lang w:val="en-US"/>
    </w:rPr>
  </w:style>
  <w:style w:type="paragraph" w:styleId="Footer">
    <w:name w:val="footer"/>
    <w:basedOn w:val="Normal"/>
    <w:link w:val="FooterChar"/>
    <w:uiPriority w:val="99"/>
    <w:unhideWhenUsed/>
    <w:rsid w:val="0064000B"/>
    <w:pPr>
      <w:tabs>
        <w:tab w:val="center" w:pos="4513"/>
        <w:tab w:val="right" w:pos="9026"/>
      </w:tabs>
    </w:pPr>
  </w:style>
  <w:style w:type="character" w:customStyle="1" w:styleId="FooterChar">
    <w:name w:val="Footer Char"/>
    <w:basedOn w:val="DefaultParagraphFont"/>
    <w:link w:val="Footer"/>
    <w:uiPriority w:val="99"/>
    <w:rsid w:val="0064000B"/>
  </w:style>
  <w:style w:type="character" w:styleId="PageNumber">
    <w:name w:val="page number"/>
    <w:basedOn w:val="DefaultParagraphFont"/>
    <w:uiPriority w:val="99"/>
    <w:semiHidden/>
    <w:unhideWhenUsed/>
    <w:rsid w:val="0064000B"/>
  </w:style>
  <w:style w:type="paragraph" w:styleId="Header">
    <w:name w:val="header"/>
    <w:basedOn w:val="Normal"/>
    <w:link w:val="HeaderChar"/>
    <w:uiPriority w:val="99"/>
    <w:unhideWhenUsed/>
    <w:rsid w:val="0064000B"/>
    <w:pPr>
      <w:tabs>
        <w:tab w:val="center" w:pos="4513"/>
        <w:tab w:val="right" w:pos="9026"/>
      </w:tabs>
    </w:pPr>
  </w:style>
  <w:style w:type="character" w:customStyle="1" w:styleId="HeaderChar">
    <w:name w:val="Header Char"/>
    <w:basedOn w:val="DefaultParagraphFont"/>
    <w:link w:val="Header"/>
    <w:uiPriority w:val="99"/>
    <w:rsid w:val="0064000B"/>
  </w:style>
  <w:style w:type="paragraph" w:styleId="Revision">
    <w:name w:val="Revision"/>
    <w:hidden/>
    <w:uiPriority w:val="99"/>
    <w:semiHidden/>
    <w:rsid w:val="00C30985"/>
  </w:style>
  <w:style w:type="paragraph" w:styleId="Caption">
    <w:name w:val="caption"/>
    <w:basedOn w:val="Normal"/>
    <w:next w:val="Normal"/>
    <w:uiPriority w:val="35"/>
    <w:unhideWhenUsed/>
    <w:qFormat/>
    <w:rsid w:val="003847D6"/>
    <w:pPr>
      <w:spacing w:before="120" w:after="200"/>
    </w:pPr>
    <w:rPr>
      <w:rFonts w:cs="Times New Roman (Body CS)"/>
      <w:iCs/>
      <w:color w:val="000000" w:themeColor="text1"/>
      <w:sz w:val="18"/>
      <w:szCs w:val="18"/>
    </w:rPr>
  </w:style>
  <w:style w:type="paragraph" w:customStyle="1" w:styleId="Heading31">
    <w:name w:val="Heading 31"/>
    <w:qFormat/>
    <w:rsid w:val="00BF5CFA"/>
    <w:pPr>
      <w:spacing w:before="240" w:after="60"/>
    </w:pPr>
    <w:rPr>
      <w:rFonts w:ascii="Calibri" w:hAnsi="Calibri" w:cs="Calibri Light"/>
      <w:b/>
      <w:bCs/>
      <w:color w:val="000000"/>
      <w:lang w:val="en-US"/>
    </w:rPr>
  </w:style>
  <w:style w:type="paragraph" w:styleId="EndnoteText">
    <w:name w:val="endnote text"/>
    <w:basedOn w:val="Normal"/>
    <w:link w:val="EndnoteTextChar"/>
    <w:uiPriority w:val="99"/>
    <w:semiHidden/>
    <w:unhideWhenUsed/>
    <w:rsid w:val="00402406"/>
    <w:rPr>
      <w:sz w:val="20"/>
      <w:szCs w:val="20"/>
    </w:rPr>
  </w:style>
  <w:style w:type="character" w:customStyle="1" w:styleId="Heading1Char">
    <w:name w:val="Heading 1 Char"/>
    <w:basedOn w:val="DefaultParagraphFont"/>
    <w:link w:val="Heading1"/>
    <w:uiPriority w:val="9"/>
    <w:rsid w:val="00DC471A"/>
    <w:rPr>
      <w:rFonts w:asciiTheme="majorHAnsi" w:eastAsiaTheme="majorEastAsia" w:hAnsiTheme="majorHAnsi" w:cstheme="majorBidi"/>
      <w:color w:val="2F5496" w:themeColor="accent1" w:themeShade="BF"/>
      <w:sz w:val="32"/>
      <w:szCs w:val="32"/>
    </w:rPr>
  </w:style>
  <w:style w:type="character" w:customStyle="1" w:styleId="EndnoteTextChar">
    <w:name w:val="Endnote Text Char"/>
    <w:basedOn w:val="DefaultParagraphFont"/>
    <w:link w:val="EndnoteText"/>
    <w:uiPriority w:val="99"/>
    <w:semiHidden/>
    <w:rsid w:val="00402406"/>
    <w:rPr>
      <w:sz w:val="20"/>
      <w:szCs w:val="20"/>
    </w:rPr>
  </w:style>
  <w:style w:type="character" w:styleId="EndnoteReference">
    <w:name w:val="endnote reference"/>
    <w:basedOn w:val="DefaultParagraphFont"/>
    <w:uiPriority w:val="99"/>
    <w:semiHidden/>
    <w:unhideWhenUsed/>
    <w:rsid w:val="00402406"/>
    <w:rPr>
      <w:vertAlign w:val="superscript"/>
    </w:rPr>
  </w:style>
  <w:style w:type="paragraph" w:styleId="ListParagraph">
    <w:name w:val="List Paragraph"/>
    <w:basedOn w:val="Normal"/>
    <w:uiPriority w:val="34"/>
    <w:qFormat/>
    <w:rsid w:val="009537D2"/>
    <w:pPr>
      <w:ind w:left="720"/>
      <w:contextualSpacing/>
    </w:pPr>
  </w:style>
  <w:style w:type="paragraph" w:styleId="BalloonText">
    <w:name w:val="Balloon Text"/>
    <w:basedOn w:val="Normal"/>
    <w:link w:val="BalloonTextChar"/>
    <w:uiPriority w:val="99"/>
    <w:semiHidden/>
    <w:unhideWhenUsed/>
    <w:rsid w:val="00AF3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5AF1B7269A9B8E47B5E4F32F8BED3F9B" ma:contentTypeVersion="7" ma:contentTypeDescription="ShareHub Document" ma:contentTypeScope="" ma:versionID="d5aec796261a67e275de22e79980bebc">
  <xsd:schema xmlns:xsd="http://www.w3.org/2001/XMLSchema" xmlns:xs="http://www.w3.org/2001/XMLSchema" xmlns:p="http://schemas.microsoft.com/office/2006/metadata/properties" xmlns:ns1="65857967-e8c9-4063-9a29-bba3c199914d" xmlns:ns3="685f9fda-bd71-4433-b331-92feb9553089" targetNamespace="http://schemas.microsoft.com/office/2006/metadata/properties" ma:root="true" ma:fieldsID="78bbd438d0bf37c07ec5f5dfbc1e3147" ns1:_="" ns3:_="">
    <xsd:import namespace="65857967-e8c9-4063-9a29-bba3c199914d"/>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7967-e8c9-4063-9a29-bba3c199914d"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7addd63-b777-46d0-acae-455a9f4ded8a}" ma:internalName="TaxCatchAll" ma:showField="CatchAllData"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7addd63-b777-46d0-acae-455a9f4ded8a}" ma:internalName="TaxCatchAllLabel" ma:readOnly="true" ma:showField="CatchAllDataLabel"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65857967-e8c9-4063-9a29-bba3c199914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65857967-e8c9-4063-9a29-bba3c199914d">SHD21-100044</ShareHubID>
    <PMCNotes xmlns="65857967-e8c9-4063-9a29-bba3c199914d" xsi:nil="true"/>
    <jd1c641577414dfdab1686c9d5d0dbd0 xmlns="65857967-e8c9-4063-9a29-bba3c199914d">
      <Terms xmlns="http://schemas.microsoft.com/office/infopath/2007/PartnerControls"/>
    </jd1c641577414dfdab1686c9d5d0dbd0>
    <NonRecordJustification xmlns="685f9fda-bd71-4433-b331-92feb9553089">None</NonRecordJustification>
    <TaxCatchAll xmlns="65857967-e8c9-4063-9a29-bba3c199914d">
      <Value>5</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4C03-4345-454B-B31D-CCED9D84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7967-e8c9-4063-9a29-bba3c199914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EB3D8-3257-49C7-AF5F-D5FC42789F14}">
  <ds:schemaRefs>
    <ds:schemaRef ds:uri="http://schemas.microsoft.com/sharepoint/v3/contenttype/forms"/>
  </ds:schemaRefs>
</ds:datastoreItem>
</file>

<file path=customXml/itemProps3.xml><?xml version="1.0" encoding="utf-8"?>
<ds:datastoreItem xmlns:ds="http://schemas.openxmlformats.org/officeDocument/2006/customXml" ds:itemID="{2B2BCFCE-C7A5-409C-802A-2F5C24F05304}">
  <ds:schemaRefs>
    <ds:schemaRef ds:uri="http://schemas.microsoft.com/office/2006/metadata/properties"/>
    <ds:schemaRef ds:uri="http://schemas.microsoft.com/office/infopath/2007/PartnerControls"/>
    <ds:schemaRef ds:uri="65857967-e8c9-4063-9a29-bba3c199914d"/>
    <ds:schemaRef ds:uri="685f9fda-bd71-4433-b331-92feb9553089"/>
  </ds:schemaRefs>
</ds:datastoreItem>
</file>

<file path=customXml/itemProps4.xml><?xml version="1.0" encoding="utf-8"?>
<ds:datastoreItem xmlns:ds="http://schemas.openxmlformats.org/officeDocument/2006/customXml" ds:itemID="{DE5B4399-DADB-433D-9512-95C49F88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Palmer </cp:lastModifiedBy>
  <cp:revision>5</cp:revision>
  <cp:lastPrinted>2021-11-26T01:34:00Z</cp:lastPrinted>
  <dcterms:created xsi:type="dcterms:W3CDTF">2021-12-21T04:50:00Z</dcterms:created>
  <dcterms:modified xsi:type="dcterms:W3CDTF">2021-12-21T22:44:00Z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0x0101002825A64A6E1845A99A9D8EE8A5686ECB005AF1B7269A9B8E47B5E4F32F8BED3F9B</vt:lpwstr>
  </property>
  <property fmtid="{D5CDD505-2E9C-101B-9397-08002B2CF9AE}" pid="3" name="HPRMSecurityLevel">
    <vt:lpwstr>5;#OFFICIAL|11463c70-78df-4e3b-b0ff-f66cd3cb26ec</vt:lpwstr>
  </property>
  <property fmtid="{D5CDD505-2E9C-101B-9397-08002B2CF9AE}" pid="4" name="HPRMSecurityCaveat">
    <vt:lpwstr/>
  </property>
</Properties>
</file>