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CDB" w:rsidRDefault="00DC471A" w:rsidP="00902CDB">
      <w:pPr>
        <w:pStyle w:val="Factsheet"/>
      </w:pPr>
      <w:r>
        <w:rPr>
          <w:noProof/>
          <w:lang w:val="en-AU" w:eastAsia="en-AU"/>
        </w:rPr>
        <w:drawing>
          <wp:anchor distT="0" distB="0" distL="114300" distR="114300" simplePos="0" relativeHeight="251669504" behindDoc="1" locked="0" layoutInCell="1" allowOverlap="1" wp14:anchorId="6423225D" wp14:editId="5390672C">
            <wp:simplePos x="0" y="0"/>
            <wp:positionH relativeFrom="leftMargin">
              <wp:posOffset>408077</wp:posOffset>
            </wp:positionH>
            <wp:positionV relativeFrom="paragraph">
              <wp:posOffset>-3835</wp:posOffset>
            </wp:positionV>
            <wp:extent cx="558800" cy="685800"/>
            <wp:effectExtent l="0" t="0" r="0" b="0"/>
            <wp:wrapNone/>
            <wp:docPr id="1" name="Picture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8800" cy="685800"/>
                    </a:xfrm>
                    <a:prstGeom prst="rect">
                      <a:avLst/>
                    </a:prstGeom>
                  </pic:spPr>
                </pic:pic>
              </a:graphicData>
            </a:graphic>
            <wp14:sizeRelH relativeFrom="page">
              <wp14:pctWidth>0</wp14:pctWidth>
            </wp14:sizeRelH>
            <wp14:sizeRelV relativeFrom="page">
              <wp14:pctHeight>0</wp14:pctHeight>
            </wp14:sizeRelV>
          </wp:anchor>
        </w:drawing>
      </w:r>
      <w:r w:rsidR="009928B0">
        <w:t>Factsheet</w:t>
      </w:r>
    </w:p>
    <w:p w:rsidR="00902CDB" w:rsidRDefault="00F9125E" w:rsidP="00902CDB">
      <w:pPr>
        <w:pStyle w:val="BodyText"/>
        <w:sectPr w:rsidR="00902CDB" w:rsidSect="00D74549">
          <w:headerReference w:type="default" r:id="rId12"/>
          <w:footerReference w:type="even" r:id="rId13"/>
          <w:footerReference w:type="default" r:id="rId14"/>
          <w:headerReference w:type="first" r:id="rId15"/>
          <w:footerReference w:type="first" r:id="rId16"/>
          <w:type w:val="continuous"/>
          <w:pgSz w:w="11900" w:h="16840"/>
          <w:pgMar w:top="3828" w:right="1418" w:bottom="1418" w:left="1361" w:header="720" w:footer="720" w:gutter="369"/>
          <w:pgNumType w:start="1"/>
          <w:cols w:space="369"/>
          <w:noEndnote/>
          <w:titlePg/>
          <w:docGrid w:linePitch="326"/>
        </w:sectPr>
      </w:pPr>
      <w:r>
        <w:rPr>
          <w:rFonts w:eastAsiaTheme="majorEastAsia"/>
          <w:sz w:val="72"/>
          <w:szCs w:val="72"/>
        </w:rPr>
        <w:t>Protecting complainants and </w:t>
      </w:r>
      <w:r w:rsidR="00E77DCA" w:rsidRPr="00E77DCA">
        <w:rPr>
          <w:rFonts w:eastAsiaTheme="majorEastAsia"/>
          <w:sz w:val="72"/>
          <w:szCs w:val="72"/>
        </w:rPr>
        <w:t>witnesses</w:t>
      </w:r>
    </w:p>
    <w:p w:rsidR="00E77DCA" w:rsidRDefault="000E252D" w:rsidP="00E77DCA">
      <w:pPr>
        <w:pStyle w:val="BodyText"/>
      </w:pPr>
      <w:r w:rsidRPr="000E252D">
        <w:t>Agencies should ensure they have measures in place for protecting complainants and witnesses from adverse consequences of coming forward with concerns or information, and should ensure complainants and witnesses are made aware of these, and o</w:t>
      </w:r>
      <w:r>
        <w:t>f the support available to them</w:t>
      </w:r>
      <w:r w:rsidR="00E77DCA">
        <w:t>.</w:t>
      </w:r>
    </w:p>
    <w:p w:rsidR="00E77DCA" w:rsidRPr="00725D3D" w:rsidRDefault="00E77DCA" w:rsidP="00F9125E">
      <w:pPr>
        <w:pStyle w:val="Heading2"/>
        <w:spacing w:before="240" w:after="120"/>
      </w:pPr>
      <w:r w:rsidRPr="00E77DCA">
        <w:t>Anonymity and confidentiality</w:t>
      </w:r>
    </w:p>
    <w:p w:rsidR="00902CDB" w:rsidRPr="00813471" w:rsidRDefault="000E252D" w:rsidP="00E77DCA">
      <w:pPr>
        <w:pStyle w:val="BodyText"/>
      </w:pPr>
      <w:r w:rsidRPr="000E252D">
        <w:t>Some employees may be concerned that reprisal action will be taken against them as a result of raising concerns or reporting suspected misconduct. For this reason, they may make reports anonymously, or ask that thei</w:t>
      </w:r>
      <w:r>
        <w:t>r identity be kept confidential</w:t>
      </w:r>
      <w:r w:rsidR="00E77DCA">
        <w:t>.</w:t>
      </w:r>
    </w:p>
    <w:p w:rsidR="00E46756" w:rsidRPr="00E46756" w:rsidRDefault="00E46756" w:rsidP="00F9125E">
      <w:pPr>
        <w:pStyle w:val="BodyText"/>
        <w:spacing w:after="120"/>
        <w:rPr>
          <w:b/>
        </w:rPr>
      </w:pPr>
      <w:r w:rsidRPr="00E46756">
        <w:rPr>
          <w:b/>
        </w:rPr>
        <w:t>Anon</w:t>
      </w:r>
      <w:r w:rsidR="00F9125E">
        <w:rPr>
          <w:b/>
        </w:rPr>
        <w:t>ymous reports</w:t>
      </w:r>
    </w:p>
    <w:p w:rsidR="000E252D" w:rsidRDefault="000E252D" w:rsidP="000E252D">
      <w:pPr>
        <w:pStyle w:val="BodyText"/>
      </w:pPr>
      <w:r>
        <w:t>Agencies are encouraged to provide avenues for anonymous reporting, as this can bring to light behavioural concerns that might not otherwise become apparent.</w:t>
      </w:r>
    </w:p>
    <w:p w:rsidR="00F9125E" w:rsidRDefault="000E252D" w:rsidP="000E252D">
      <w:pPr>
        <w:pStyle w:val="BodyText"/>
      </w:pPr>
      <w:r>
        <w:t>There may be limits to the extent to which anonymous reports can be investigated and addressed, and agencies should explain this to anonymo</w:t>
      </w:r>
      <w:r w:rsidR="00F9125E">
        <w:t>us complainants where possible.</w:t>
      </w:r>
    </w:p>
    <w:p w:rsidR="00902CDB" w:rsidRDefault="000E252D" w:rsidP="000E252D">
      <w:pPr>
        <w:pStyle w:val="BodyText"/>
      </w:pPr>
      <w:r>
        <w:t>Agencies should carefully consider how an anonymous complaint can be considered or investigated, including the available relevant information and avenues of inquiry</w:t>
      </w:r>
      <w:r w:rsidR="00E77DCA">
        <w:t>.</w:t>
      </w:r>
    </w:p>
    <w:p w:rsidR="004A7565" w:rsidRPr="00F936B1" w:rsidRDefault="004A7565" w:rsidP="004A7565">
      <w:pPr>
        <w:pStyle w:val="Quoteheading"/>
      </w:pPr>
      <w:r>
        <w:t>Av</w:t>
      </w:r>
      <w:r w:rsidR="00F9125E">
        <w:t>enues for anonymous reporting</w:t>
      </w:r>
    </w:p>
    <w:p w:rsidR="004A7565" w:rsidRDefault="004A7565" w:rsidP="00F9125E">
      <w:pPr>
        <w:pStyle w:val="Quotebodytext"/>
        <w:spacing w:before="120"/>
      </w:pPr>
      <w:r w:rsidRPr="004A7565">
        <w:t xml:space="preserve">Agencies are encouraged to provide </w:t>
      </w:r>
      <w:r>
        <w:t>avenues for anonymous reporting, as this can bring to light behavioural concerns that might not otherwise become apparent.</w:t>
      </w:r>
    </w:p>
    <w:p w:rsidR="00E46756" w:rsidRPr="00E46756" w:rsidRDefault="00F9125E" w:rsidP="00F9125E">
      <w:pPr>
        <w:pStyle w:val="BodyText"/>
        <w:spacing w:after="120"/>
        <w:rPr>
          <w:b/>
        </w:rPr>
      </w:pPr>
      <w:r>
        <w:rPr>
          <w:b/>
        </w:rPr>
        <w:t>Confidentiality</w:t>
      </w:r>
    </w:p>
    <w:p w:rsidR="000E252D" w:rsidRDefault="000E252D" w:rsidP="000E252D">
      <w:pPr>
        <w:pStyle w:val="BodyText"/>
      </w:pPr>
      <w:r>
        <w:t>In some cases, a complainant will make their identity known to the agency, but request that it not be disclosed further.</w:t>
      </w:r>
    </w:p>
    <w:p w:rsidR="004A7565" w:rsidRDefault="000E252D" w:rsidP="00F9125E">
      <w:pPr>
        <w:pStyle w:val="BodyText"/>
        <w:rPr>
          <w:rFonts w:ascii="Calibri" w:hAnsi="Calibri" w:cs="Calibri"/>
          <w:b/>
          <w:bCs/>
          <w:sz w:val="28"/>
          <w:szCs w:val="28"/>
        </w:rPr>
      </w:pPr>
      <w:r>
        <w:t>While agencies may undertake to maintain confidentiality to the extent possible, it can often be necessary to reveal the identity of the complainant or a witness in order to provide the person under investigation with the information they need to respond fully to the allegations. In some cases, identities may become apparent simply by virtue of the nature of the complaint</w:t>
      </w:r>
      <w:r w:rsidR="00E77DCA">
        <w:t>.</w:t>
      </w:r>
    </w:p>
    <w:p w:rsidR="004A7565" w:rsidRDefault="004A7565" w:rsidP="00F9125E">
      <w:pPr>
        <w:pStyle w:val="Heading2"/>
        <w:spacing w:after="120"/>
      </w:pPr>
      <w:r w:rsidRPr="004A7565">
        <w:t>Protection from reprisal</w:t>
      </w:r>
    </w:p>
    <w:p w:rsidR="000E252D" w:rsidRDefault="000E252D" w:rsidP="000E252D">
      <w:pPr>
        <w:pStyle w:val="BodyText"/>
      </w:pPr>
      <w:r>
        <w:t xml:space="preserve">Employees who make allegations of misconduct are protected from reprisal. Retaliation against someone who has made a complaint in good faith could be a potential breach of a number of elements of the </w:t>
      </w:r>
      <w:r w:rsidR="004147CF">
        <w:t xml:space="preserve">APS </w:t>
      </w:r>
      <w:r>
        <w:t>Code</w:t>
      </w:r>
      <w:r w:rsidR="004147CF">
        <w:t xml:space="preserve"> of Conduct</w:t>
      </w:r>
      <w:r>
        <w:t>, including the requirements to:</w:t>
      </w:r>
    </w:p>
    <w:p w:rsidR="000E252D" w:rsidRDefault="000E252D" w:rsidP="000E252D">
      <w:pPr>
        <w:pStyle w:val="BodyText"/>
        <w:numPr>
          <w:ilvl w:val="0"/>
          <w:numId w:val="14"/>
        </w:numPr>
      </w:pPr>
      <w:r>
        <w:t>behave with integrity in connection with employment</w:t>
      </w:r>
    </w:p>
    <w:p w:rsidR="000E252D" w:rsidRDefault="000E252D" w:rsidP="000E252D">
      <w:pPr>
        <w:pStyle w:val="BodyText"/>
        <w:numPr>
          <w:ilvl w:val="0"/>
          <w:numId w:val="14"/>
        </w:numPr>
      </w:pPr>
      <w:r>
        <w:t>comply with all applicable Australian laws</w:t>
      </w:r>
    </w:p>
    <w:p w:rsidR="000E252D" w:rsidRDefault="000E252D" w:rsidP="000E252D">
      <w:pPr>
        <w:pStyle w:val="BodyText"/>
        <w:numPr>
          <w:ilvl w:val="0"/>
          <w:numId w:val="14"/>
        </w:numPr>
      </w:pPr>
      <w:r>
        <w:t>treat everyone with respect and courtesy, and without harassment.</w:t>
      </w:r>
    </w:p>
    <w:p w:rsidR="004A7565" w:rsidRPr="000E252D" w:rsidRDefault="00F9125E" w:rsidP="004A7565">
      <w:pPr>
        <w:pStyle w:val="BodyText"/>
      </w:pPr>
      <w:r>
        <w:rPr>
          <w:noProof/>
          <w:lang w:val="en-AU" w:eastAsia="en-AU"/>
        </w:rPr>
        <mc:AlternateContent>
          <mc:Choice Requires="wps">
            <w:drawing>
              <wp:anchor distT="0" distB="0" distL="0" distR="0" simplePos="0" relativeHeight="251671552" behindDoc="1" locked="0" layoutInCell="1" allowOverlap="1" wp14:anchorId="2A624BD7" wp14:editId="551720E9">
                <wp:simplePos x="0" y="0"/>
                <wp:positionH relativeFrom="margin">
                  <wp:posOffset>-66261</wp:posOffset>
                </wp:positionH>
                <wp:positionV relativeFrom="paragraph">
                  <wp:posOffset>567662</wp:posOffset>
                </wp:positionV>
                <wp:extent cx="2729865" cy="508000"/>
                <wp:effectExtent l="0" t="0" r="13335" b="2540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9865" cy="508000"/>
                        </a:xfrm>
                        <a:prstGeom prst="rect">
                          <a:avLst/>
                        </a:prstGeom>
                        <a:noFill/>
                        <a:ln w="6350">
                          <a:solidFill>
                            <a:srgbClr val="C0C2C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77DCA" w:rsidRPr="00553359" w:rsidRDefault="00E77DCA" w:rsidP="00E77DCA">
                            <w:pPr>
                              <w:spacing w:before="145"/>
                              <w:ind w:left="330"/>
                              <w:rPr>
                                <w:b/>
                                <w:color w:val="231F20"/>
                                <w:sz w:val="20"/>
                                <w:lang w:val="en-US"/>
                              </w:rPr>
                            </w:pPr>
                            <w:r w:rsidRPr="00553359">
                              <w:rPr>
                                <w:color w:val="231F20"/>
                                <w:sz w:val="20"/>
                                <w:lang w:val="en-US"/>
                              </w:rPr>
                              <w:t xml:space="preserve">Further information can be found in </w:t>
                            </w:r>
                            <w:r w:rsidRPr="00553359">
                              <w:rPr>
                                <w:b/>
                                <w:color w:val="231F20"/>
                                <w:sz w:val="20"/>
                                <w:lang w:val="en-US"/>
                              </w:rPr>
                              <w:t xml:space="preserve">Chapter 3 </w:t>
                            </w:r>
                            <w:r w:rsidRPr="00553359">
                              <w:rPr>
                                <w:color w:val="231F20"/>
                                <w:sz w:val="20"/>
                                <w:lang w:val="en-US"/>
                              </w:rPr>
                              <w:t xml:space="preserve">of </w:t>
                            </w:r>
                            <w:r w:rsidRPr="00553359">
                              <w:rPr>
                                <w:b/>
                                <w:color w:val="231F20"/>
                                <w:sz w:val="20"/>
                                <w:lang w:val="en-US"/>
                              </w:rPr>
                              <w:t>Handling Misconduct.</w:t>
                            </w:r>
                          </w:p>
                          <w:p w:rsidR="00E77DCA" w:rsidRDefault="00E77DCA" w:rsidP="00E77DCA">
                            <w:pPr>
                              <w:spacing w:before="145"/>
                              <w:ind w:left="33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24BD7" id="_x0000_t202" coordsize="21600,21600" o:spt="202" path="m,l,21600r21600,l21600,xe">
                <v:stroke joinstyle="miter"/>
                <v:path gradientshapeok="t" o:connecttype="rect"/>
              </v:shapetype>
              <v:shape id="Text Box 2" o:spid="_x0000_s1026" type="#_x0000_t202" style="position:absolute;margin-left:-5.2pt;margin-top:44.7pt;width:214.95pt;height:40pt;z-index:-2516449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" filled="f" strokecolor="#c0c2c4" strokeweight=".5pt">
                <v:textbox inset="0,0,0,0">
                  <w:txbxContent>
                    <w:p w:rsidR="00E77DCA" w:rsidRPr="00553359" w:rsidRDefault="00E77DCA" w:rsidP="00E77DCA">
                      <w:pPr>
                        <w:spacing w:before="145"/>
                        <w:ind w:left="330"/>
                        <w:rPr>
                          <w:b/>
                          <w:color w:val="231F20"/>
                          <w:sz w:val="20"/>
                          <w:lang w:val="en-US"/>
                        </w:rPr>
                      </w:pPr>
                      <w:r w:rsidRPr="00553359">
                        <w:rPr>
                          <w:color w:val="231F20"/>
                          <w:sz w:val="20"/>
                          <w:lang w:val="en-US"/>
                        </w:rPr>
                        <w:t xml:space="preserve">Further information can be found in </w:t>
                      </w:r>
                      <w:r w:rsidRPr="00553359">
                        <w:rPr>
                          <w:b/>
                          <w:color w:val="231F20"/>
                          <w:sz w:val="20"/>
                          <w:lang w:val="en-US"/>
                        </w:rPr>
                        <w:t xml:space="preserve">Chapter 3 </w:t>
                      </w:r>
                      <w:r w:rsidRPr="00553359">
                        <w:rPr>
                          <w:color w:val="231F20"/>
                          <w:sz w:val="20"/>
                          <w:lang w:val="en-US"/>
                        </w:rPr>
                        <w:t xml:space="preserve">of </w:t>
                      </w:r>
                      <w:r w:rsidRPr="00553359">
                        <w:rPr>
                          <w:b/>
                          <w:color w:val="231F20"/>
                          <w:sz w:val="20"/>
                          <w:lang w:val="en-US"/>
                        </w:rPr>
                        <w:t>Handling Misconduct.</w:t>
                      </w:r>
                    </w:p>
                    <w:p w:rsidR="00E77DCA" w:rsidRDefault="00E77DCA" w:rsidP="00E77DCA">
                      <w:pPr>
                        <w:spacing w:before="145"/>
                        <w:ind w:left="330"/>
                        <w:rPr>
                          <w:b/>
                          <w:sz w:val="20"/>
                        </w:rPr>
                      </w:pPr>
                    </w:p>
                  </w:txbxContent>
                </v:textbox>
                <w10:wrap type="topAndBottom" anchorx="margin"/>
              </v:shape>
            </w:pict>
          </mc:Fallback>
        </mc:AlternateContent>
      </w:r>
      <w:r w:rsidR="000E252D">
        <w:t>In general, these protections also extend to witnesses in misconduct investigations.</w:t>
      </w:r>
    </w:p>
    <w:p w:rsidR="004A7565" w:rsidRDefault="004A7565" w:rsidP="004A7565">
      <w:pPr>
        <w:pStyle w:val="BodyText"/>
        <w:rPr>
          <w:rFonts w:asciiTheme="majorHAnsi" w:eastAsiaTheme="majorEastAsia" w:hAnsiTheme="majorHAnsi" w:cstheme="majorBidi"/>
          <w:color w:val="2F5496" w:themeColor="accent1" w:themeShade="BF"/>
          <w:sz w:val="32"/>
          <w:szCs w:val="32"/>
        </w:rPr>
      </w:pPr>
    </w:p>
    <w:p w:rsidR="004A7565" w:rsidRDefault="004A7565" w:rsidP="004A7565">
      <w:pPr>
        <w:pStyle w:val="BodyText"/>
        <w:rPr>
          <w:rFonts w:asciiTheme="majorHAnsi" w:eastAsiaTheme="majorEastAsia" w:hAnsiTheme="majorHAnsi" w:cstheme="majorBidi"/>
          <w:color w:val="2F5496" w:themeColor="accent1" w:themeShade="BF"/>
          <w:sz w:val="32"/>
          <w:szCs w:val="32"/>
        </w:rPr>
      </w:pPr>
    </w:p>
    <w:p w:rsidR="004A7565" w:rsidRPr="00F9125E" w:rsidRDefault="004A7565" w:rsidP="004A7565">
      <w:pPr>
        <w:pStyle w:val="BodyText"/>
        <w:rPr>
          <w:rFonts w:asciiTheme="majorHAnsi" w:eastAsiaTheme="majorEastAsia" w:hAnsiTheme="majorHAnsi" w:cstheme="majorBidi"/>
          <w:color w:val="2F5496" w:themeColor="accent1" w:themeShade="BF"/>
        </w:rPr>
      </w:pPr>
    </w:p>
    <w:p w:rsidR="004A7565" w:rsidRPr="00F9125E" w:rsidRDefault="004A7565" w:rsidP="004A7565">
      <w:pPr>
        <w:pStyle w:val="BodyText"/>
        <w:rPr>
          <w:rFonts w:asciiTheme="majorHAnsi" w:eastAsiaTheme="majorEastAsia" w:hAnsiTheme="majorHAnsi" w:cstheme="majorBidi"/>
          <w:color w:val="2F5496" w:themeColor="accent1" w:themeShade="BF"/>
        </w:rPr>
      </w:pPr>
    </w:p>
    <w:p w:rsidR="004A7565" w:rsidRPr="00F9125E" w:rsidRDefault="004A7565" w:rsidP="004A7565">
      <w:pPr>
        <w:pStyle w:val="BodyText"/>
        <w:rPr>
          <w:rFonts w:asciiTheme="majorHAnsi" w:eastAsiaTheme="majorEastAsia" w:hAnsiTheme="majorHAnsi" w:cstheme="majorBidi"/>
          <w:color w:val="2F5496" w:themeColor="accent1" w:themeShade="BF"/>
        </w:rPr>
      </w:pPr>
    </w:p>
    <w:p w:rsidR="004A7565" w:rsidRPr="00F9125E" w:rsidRDefault="004A7565" w:rsidP="004A7565">
      <w:pPr>
        <w:pStyle w:val="BodyText"/>
        <w:rPr>
          <w:rFonts w:asciiTheme="majorHAnsi" w:eastAsiaTheme="majorEastAsia" w:hAnsiTheme="majorHAnsi" w:cstheme="majorBidi"/>
          <w:color w:val="2F5496" w:themeColor="accent1" w:themeShade="BF"/>
        </w:rPr>
      </w:pPr>
    </w:p>
    <w:p w:rsidR="004A7565" w:rsidRPr="00F9125E" w:rsidRDefault="004A7565" w:rsidP="004A7565">
      <w:pPr>
        <w:pStyle w:val="BodyText"/>
        <w:rPr>
          <w:rFonts w:asciiTheme="majorHAnsi" w:eastAsiaTheme="majorEastAsia" w:hAnsiTheme="majorHAnsi" w:cstheme="majorBidi"/>
          <w:color w:val="2F5496" w:themeColor="accent1" w:themeShade="BF"/>
        </w:rPr>
      </w:pPr>
    </w:p>
    <w:p w:rsidR="004A7565" w:rsidRPr="00F9125E" w:rsidRDefault="004A7565" w:rsidP="004A7565">
      <w:pPr>
        <w:pStyle w:val="BodyText"/>
        <w:rPr>
          <w:rFonts w:asciiTheme="majorHAnsi" w:eastAsiaTheme="majorEastAsia" w:hAnsiTheme="majorHAnsi" w:cstheme="majorBidi"/>
          <w:color w:val="2F5496" w:themeColor="accent1" w:themeShade="BF"/>
        </w:rPr>
      </w:pPr>
    </w:p>
    <w:p w:rsidR="004A7565" w:rsidRPr="00F9125E" w:rsidRDefault="004A7565" w:rsidP="004A7565">
      <w:pPr>
        <w:pStyle w:val="BodyText"/>
        <w:rPr>
          <w:rFonts w:asciiTheme="majorHAnsi" w:eastAsiaTheme="majorEastAsia" w:hAnsiTheme="majorHAnsi" w:cstheme="majorBidi"/>
          <w:color w:val="2F5496" w:themeColor="accent1" w:themeShade="BF"/>
        </w:rPr>
      </w:pPr>
    </w:p>
    <w:p w:rsidR="004A7565" w:rsidRPr="00F9125E" w:rsidRDefault="004A7565" w:rsidP="004A7565">
      <w:pPr>
        <w:pStyle w:val="BodyText"/>
        <w:rPr>
          <w:rFonts w:asciiTheme="majorHAnsi" w:eastAsiaTheme="majorEastAsia" w:hAnsiTheme="majorHAnsi" w:cstheme="majorBidi"/>
          <w:color w:val="2F5496" w:themeColor="accent1" w:themeShade="BF"/>
        </w:rPr>
      </w:pPr>
    </w:p>
    <w:p w:rsidR="004A7565" w:rsidRPr="00F9125E" w:rsidRDefault="004A7565" w:rsidP="004A7565">
      <w:pPr>
        <w:pStyle w:val="BodyText"/>
        <w:rPr>
          <w:rFonts w:asciiTheme="majorHAnsi" w:eastAsiaTheme="majorEastAsia" w:hAnsiTheme="majorHAnsi" w:cstheme="majorBidi"/>
          <w:color w:val="2F5496" w:themeColor="accent1" w:themeShade="BF"/>
        </w:rPr>
      </w:pPr>
    </w:p>
    <w:p w:rsidR="004A7565" w:rsidRPr="00F9125E" w:rsidRDefault="004A7565" w:rsidP="004A7565">
      <w:pPr>
        <w:pStyle w:val="BodyText"/>
        <w:rPr>
          <w:rFonts w:asciiTheme="majorHAnsi" w:eastAsiaTheme="majorEastAsia" w:hAnsiTheme="majorHAnsi" w:cstheme="majorBidi"/>
          <w:color w:val="2F5496" w:themeColor="accent1" w:themeShade="BF"/>
        </w:rPr>
      </w:pPr>
    </w:p>
    <w:p w:rsidR="004A7565" w:rsidRPr="00F9125E" w:rsidRDefault="004A7565" w:rsidP="004A7565">
      <w:pPr>
        <w:pStyle w:val="BodyText"/>
        <w:rPr>
          <w:rFonts w:asciiTheme="majorHAnsi" w:eastAsiaTheme="majorEastAsia" w:hAnsiTheme="majorHAnsi" w:cstheme="majorBidi"/>
          <w:color w:val="2F5496" w:themeColor="accent1" w:themeShade="BF"/>
        </w:rPr>
      </w:pPr>
    </w:p>
    <w:p w:rsidR="004A7565" w:rsidRPr="00F9125E" w:rsidRDefault="004A7565" w:rsidP="004A7565">
      <w:pPr>
        <w:pStyle w:val="BodyText"/>
        <w:rPr>
          <w:rFonts w:asciiTheme="majorHAnsi" w:eastAsiaTheme="majorEastAsia" w:hAnsiTheme="majorHAnsi" w:cstheme="majorBidi"/>
          <w:color w:val="2F5496" w:themeColor="accent1" w:themeShade="BF"/>
        </w:rPr>
      </w:pPr>
    </w:p>
    <w:p w:rsidR="004A7565" w:rsidRPr="00F9125E" w:rsidRDefault="004A7565" w:rsidP="004A7565">
      <w:pPr>
        <w:pStyle w:val="BodyText"/>
        <w:rPr>
          <w:rFonts w:asciiTheme="majorHAnsi" w:eastAsiaTheme="majorEastAsia" w:hAnsiTheme="majorHAnsi" w:cstheme="majorBidi"/>
          <w:color w:val="2F5496" w:themeColor="accent1" w:themeShade="BF"/>
        </w:rPr>
      </w:pPr>
    </w:p>
    <w:p w:rsidR="004A7565" w:rsidRDefault="004A7565" w:rsidP="005E09FE">
      <w:pPr>
        <w:rPr>
          <w:lang w:val="en-US"/>
        </w:rPr>
        <w:sectPr w:rsidR="004A7565" w:rsidSect="004A7565">
          <w:type w:val="continuous"/>
          <w:pgSz w:w="11900" w:h="16840"/>
          <w:pgMar w:top="1701" w:right="1418" w:bottom="1418" w:left="1361" w:header="720" w:footer="720" w:gutter="369"/>
          <w:pgNumType w:start="1"/>
          <w:cols w:num="2" w:space="369"/>
          <w:noEndnote/>
          <w:titlePg/>
          <w:docGrid w:linePitch="326"/>
        </w:sectPr>
      </w:pPr>
    </w:p>
    <w:p w:rsidR="005E09FE" w:rsidRDefault="005E09FE" w:rsidP="005E09FE">
      <w:pPr>
        <w:rPr>
          <w:lang w:val="en-US"/>
        </w:rPr>
      </w:pPr>
    </w:p>
    <w:p w:rsidR="004A7565" w:rsidRDefault="004A7565" w:rsidP="005E09FE">
      <w:pPr>
        <w:rPr>
          <w:lang w:val="en-US"/>
        </w:rPr>
      </w:pPr>
    </w:p>
    <w:p w:rsidR="004A7565" w:rsidRDefault="004A7565" w:rsidP="005E09FE">
      <w:pPr>
        <w:rPr>
          <w:lang w:val="en-US"/>
        </w:rPr>
      </w:pPr>
    </w:p>
    <w:p w:rsidR="004A7565" w:rsidRPr="005E09FE" w:rsidRDefault="004A7565" w:rsidP="005E09FE">
      <w:pPr>
        <w:rPr>
          <w:lang w:val="en-US"/>
        </w:rPr>
      </w:pPr>
    </w:p>
    <w:sectPr w:rsidR="004A7565" w:rsidRPr="005E09FE" w:rsidSect="00902CDB">
      <w:type w:val="continuous"/>
      <w:pgSz w:w="11900" w:h="16840"/>
      <w:pgMar w:top="5387" w:right="1418" w:bottom="1418" w:left="1361" w:header="720" w:footer="720" w:gutter="369"/>
      <w:pgNumType w:start="1"/>
      <w:cols w:space="369"/>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C40" w:rsidRDefault="00727C40" w:rsidP="00084D3A">
      <w:r>
        <w:separator/>
      </w:r>
    </w:p>
  </w:endnote>
  <w:endnote w:type="continuationSeparator" w:id="0">
    <w:p w:rsidR="00727C40" w:rsidRDefault="00727C40" w:rsidP="0008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Times New Roman"/>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9899273"/>
      <w:docPartObj>
        <w:docPartGallery w:val="Page Numbers (Bottom of Page)"/>
        <w:docPartUnique/>
      </w:docPartObj>
    </w:sdtPr>
    <w:sdtEndPr>
      <w:rPr>
        <w:rStyle w:val="PageNumber"/>
      </w:rPr>
    </w:sdtEndPr>
    <w:sdtContent>
      <w:p w:rsidR="0064000B" w:rsidRDefault="0064000B" w:rsidP="001A285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4000B" w:rsidRDefault="006400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27410196"/>
      <w:docPartObj>
        <w:docPartGallery w:val="Page Numbers (Bottom of Page)"/>
        <w:docPartUnique/>
      </w:docPartObj>
    </w:sdtPr>
    <w:sdtEndPr>
      <w:rPr>
        <w:rStyle w:val="PageNumber"/>
      </w:rPr>
    </w:sdtEndPr>
    <w:sdtContent>
      <w:p w:rsidR="0064000B" w:rsidRDefault="0064000B" w:rsidP="002F5E22">
        <w:pPr>
          <w:pStyle w:val="Footer"/>
          <w:framePr w:wrap="none" w:vAnchor="text" w:hAnchor="page" w:x="6108" w:y="337"/>
          <w:rPr>
            <w:rStyle w:val="PageNumber"/>
          </w:rPr>
        </w:pPr>
        <w:r w:rsidRPr="0064000B">
          <w:rPr>
            <w:rStyle w:val="PageNumber"/>
            <w:rFonts w:ascii="Calibri Light" w:hAnsi="Calibri Light" w:cs="Calibri Light"/>
            <w:sz w:val="20"/>
            <w:szCs w:val="20"/>
          </w:rPr>
          <w:fldChar w:fldCharType="begin"/>
        </w:r>
        <w:r w:rsidRPr="0064000B">
          <w:rPr>
            <w:rStyle w:val="PageNumber"/>
            <w:rFonts w:ascii="Calibri Light" w:hAnsi="Calibri Light" w:cs="Calibri Light"/>
            <w:sz w:val="20"/>
            <w:szCs w:val="20"/>
          </w:rPr>
          <w:instrText xml:space="preserve"> PAGE </w:instrText>
        </w:r>
        <w:r w:rsidRPr="0064000B">
          <w:rPr>
            <w:rStyle w:val="PageNumber"/>
            <w:rFonts w:ascii="Calibri Light" w:hAnsi="Calibri Light" w:cs="Calibri Light"/>
            <w:sz w:val="20"/>
            <w:szCs w:val="20"/>
          </w:rPr>
          <w:fldChar w:fldCharType="separate"/>
        </w:r>
        <w:r w:rsidR="003E5E95">
          <w:rPr>
            <w:rStyle w:val="PageNumber"/>
            <w:rFonts w:ascii="Calibri Light" w:hAnsi="Calibri Light" w:cs="Calibri Light"/>
            <w:noProof/>
            <w:sz w:val="20"/>
            <w:szCs w:val="20"/>
          </w:rPr>
          <w:t>2</w:t>
        </w:r>
        <w:r w:rsidRPr="0064000B">
          <w:rPr>
            <w:rStyle w:val="PageNumber"/>
            <w:rFonts w:ascii="Calibri Light" w:hAnsi="Calibri Light" w:cs="Calibri Light"/>
            <w:sz w:val="20"/>
            <w:szCs w:val="20"/>
          </w:rPr>
          <w:fldChar w:fldCharType="end"/>
        </w:r>
      </w:p>
    </w:sdtContent>
  </w:sdt>
  <w:p w:rsidR="0064000B" w:rsidRDefault="006400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Calibri Light" w:hAnsi="Calibri Light" w:cs="Calibri Light"/>
        <w:sz w:val="20"/>
        <w:szCs w:val="20"/>
      </w:rPr>
      <w:id w:val="452835345"/>
      <w:docPartObj>
        <w:docPartGallery w:val="Page Numbers (Bottom of Page)"/>
        <w:docPartUnique/>
      </w:docPartObj>
    </w:sdtPr>
    <w:sdtEndPr>
      <w:rPr>
        <w:rStyle w:val="PageNumber"/>
      </w:rPr>
    </w:sdtEndPr>
    <w:sdtContent>
      <w:p w:rsidR="00C30985" w:rsidRPr="00C30985" w:rsidRDefault="00C30985" w:rsidP="005E09FE">
        <w:pPr>
          <w:pStyle w:val="Footer"/>
          <w:framePr w:wrap="none" w:vAnchor="text" w:hAnchor="margin" w:xAlign="center" w:y="386"/>
          <w:rPr>
            <w:rStyle w:val="PageNumber"/>
            <w:rFonts w:ascii="Calibri Light" w:hAnsi="Calibri Light" w:cs="Calibri Light"/>
            <w:sz w:val="20"/>
            <w:szCs w:val="20"/>
          </w:rPr>
        </w:pPr>
        <w:r w:rsidRPr="00C30985">
          <w:rPr>
            <w:rStyle w:val="PageNumber"/>
            <w:rFonts w:ascii="Calibri Light" w:hAnsi="Calibri Light" w:cs="Calibri Light"/>
            <w:sz w:val="20"/>
            <w:szCs w:val="20"/>
          </w:rPr>
          <w:fldChar w:fldCharType="begin"/>
        </w:r>
        <w:r w:rsidRPr="00C30985">
          <w:rPr>
            <w:rStyle w:val="PageNumber"/>
            <w:rFonts w:ascii="Calibri Light" w:hAnsi="Calibri Light" w:cs="Calibri Light"/>
            <w:sz w:val="20"/>
            <w:szCs w:val="20"/>
          </w:rPr>
          <w:instrText xml:space="preserve"> PAGE </w:instrText>
        </w:r>
        <w:r w:rsidRPr="00C30985">
          <w:rPr>
            <w:rStyle w:val="PageNumber"/>
            <w:rFonts w:ascii="Calibri Light" w:hAnsi="Calibri Light" w:cs="Calibri Light"/>
            <w:sz w:val="20"/>
            <w:szCs w:val="20"/>
          </w:rPr>
          <w:fldChar w:fldCharType="separate"/>
        </w:r>
        <w:r w:rsidR="003E5E95">
          <w:rPr>
            <w:rStyle w:val="PageNumber"/>
            <w:rFonts w:ascii="Calibri Light" w:hAnsi="Calibri Light" w:cs="Calibri Light"/>
            <w:noProof/>
            <w:sz w:val="20"/>
            <w:szCs w:val="20"/>
          </w:rPr>
          <w:t>1</w:t>
        </w:r>
        <w:r w:rsidRPr="00C30985">
          <w:rPr>
            <w:rStyle w:val="PageNumber"/>
            <w:rFonts w:ascii="Calibri Light" w:hAnsi="Calibri Light" w:cs="Calibri Light"/>
            <w:sz w:val="20"/>
            <w:szCs w:val="20"/>
          </w:rPr>
          <w:fldChar w:fldCharType="end"/>
        </w:r>
      </w:p>
    </w:sdtContent>
  </w:sdt>
  <w:p w:rsidR="00C30985" w:rsidRDefault="00C30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C40" w:rsidRDefault="00727C40" w:rsidP="00084D3A">
      <w:r>
        <w:separator/>
      </w:r>
    </w:p>
  </w:footnote>
  <w:footnote w:type="continuationSeparator" w:id="0">
    <w:p w:rsidR="00727C40" w:rsidRDefault="00727C40" w:rsidP="00084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985" w:rsidRDefault="00C30985">
    <w:pPr>
      <w:pStyle w:val="Header"/>
    </w:pPr>
    <w:r>
      <w:rPr>
        <w:noProof/>
        <w:lang w:eastAsia="en-AU"/>
      </w:rPr>
      <w:drawing>
        <wp:anchor distT="0" distB="0" distL="114300" distR="114300" simplePos="0" relativeHeight="251663360" behindDoc="1" locked="0" layoutInCell="1" allowOverlap="1" wp14:anchorId="4A4FA615" wp14:editId="219C8F3A">
          <wp:simplePos x="0" y="0"/>
          <wp:positionH relativeFrom="column">
            <wp:posOffset>4680728</wp:posOffset>
          </wp:positionH>
          <wp:positionV relativeFrom="paragraph">
            <wp:posOffset>-441325</wp:posOffset>
          </wp:positionV>
          <wp:extent cx="1753200" cy="1296000"/>
          <wp:effectExtent l="0" t="0" r="0" b="0"/>
          <wp:wrapNone/>
          <wp:docPr id="328" name="Picture 32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32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1B2" w:rsidRDefault="000B48CB" w:rsidP="00DA00A7">
    <w:pPr>
      <w:pStyle w:val="Header"/>
      <w:tabs>
        <w:tab w:val="clear" w:pos="4513"/>
        <w:tab w:val="clear" w:pos="9026"/>
        <w:tab w:val="left" w:pos="3160"/>
      </w:tabs>
    </w:pPr>
    <w:r>
      <w:rPr>
        <w:noProof/>
        <w:lang w:eastAsia="en-AU"/>
      </w:rPr>
      <w:drawing>
        <wp:anchor distT="0" distB="0" distL="114300" distR="114300" simplePos="0" relativeHeight="251665408" behindDoc="1" locked="0" layoutInCell="1" allowOverlap="1" wp14:anchorId="05D77382" wp14:editId="0D7EBE1D">
          <wp:simplePos x="0" y="0"/>
          <wp:positionH relativeFrom="column">
            <wp:posOffset>-732790</wp:posOffset>
          </wp:positionH>
          <wp:positionV relativeFrom="paragraph">
            <wp:posOffset>-39103</wp:posOffset>
          </wp:positionV>
          <wp:extent cx="2857500" cy="533400"/>
          <wp:effectExtent l="0" t="0" r="0" b="0"/>
          <wp:wrapNone/>
          <wp:docPr id="329" name="Picture 329" descr="Australian Public Service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ustralian Public Service Commission logo"/>
                  <pic:cNvPicPr/>
                </pic:nvPicPr>
                <pic:blipFill>
                  <a:blip r:embed="rId1">
                    <a:extLst>
                      <a:ext uri="{28A0092B-C50C-407E-A947-70E740481C1C}">
                        <a14:useLocalDpi xmlns:a14="http://schemas.microsoft.com/office/drawing/2010/main" val="0"/>
                      </a:ext>
                    </a:extLst>
                  </a:blip>
                  <a:stretch>
                    <a:fillRect/>
                  </a:stretch>
                </pic:blipFill>
                <pic:spPr>
                  <a:xfrm>
                    <a:off x="0" y="0"/>
                    <a:ext cx="2857500" cy="5334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264" behindDoc="1" locked="0" layoutInCell="1" allowOverlap="1" wp14:anchorId="6C7E5143" wp14:editId="51B5B6BD">
          <wp:simplePos x="0" y="0"/>
          <wp:positionH relativeFrom="column">
            <wp:posOffset>4741136</wp:posOffset>
          </wp:positionH>
          <wp:positionV relativeFrom="paragraph">
            <wp:posOffset>-443230</wp:posOffset>
          </wp:positionV>
          <wp:extent cx="1753200" cy="1296000"/>
          <wp:effectExtent l="0" t="0" r="0" b="0"/>
          <wp:wrapNone/>
          <wp:docPr id="330" name="Picture 33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53200" cy="1296000"/>
                  </a:xfrm>
                  <a:prstGeom prst="rect">
                    <a:avLst/>
                  </a:prstGeom>
                </pic:spPr>
              </pic:pic>
            </a:graphicData>
          </a:graphic>
          <wp14:sizeRelH relativeFrom="margin">
            <wp14:pctWidth>0</wp14:pctWidth>
          </wp14:sizeRelH>
          <wp14:sizeRelV relativeFrom="margin">
            <wp14:pctHeight>0</wp14:pctHeight>
          </wp14:sizeRelV>
        </wp:anchor>
      </w:drawing>
    </w:r>
    <w:r w:rsidR="00DA00A7">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FA4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BCD6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60D3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A6B7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8ED7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626B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FA2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9662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740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1054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1E41AB"/>
    <w:multiLevelType w:val="hybridMultilevel"/>
    <w:tmpl w:val="0E16B104"/>
    <w:lvl w:ilvl="0" w:tplc="D414A15E">
      <w:start w:val="1"/>
      <w:numFmt w:val="bullet"/>
      <w:lvlText w:val=""/>
      <w:lvlJc w:val="left"/>
      <w:pPr>
        <w:ind w:left="720" w:hanging="360"/>
      </w:pPr>
      <w:rPr>
        <w:rFonts w:ascii="Symbol" w:hAnsi="Symbol" w:hint="default"/>
        <w:b w:val="0"/>
        <w:bCs w:val="0"/>
        <w:i w:val="0"/>
        <w:iCs w:val="0"/>
        <w:color w:val="17B4C2"/>
        <w:w w:val="100"/>
        <w:sz w:val="22"/>
        <w:szCs w:val="1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A90592F"/>
    <w:multiLevelType w:val="hybridMultilevel"/>
    <w:tmpl w:val="E1E22720"/>
    <w:lvl w:ilvl="0" w:tplc="243EDFA8">
      <w:start w:val="1"/>
      <w:numFmt w:val="bullet"/>
      <w:pStyle w:val="bullets"/>
      <w:lvlText w:val=""/>
      <w:lvlJc w:val="left"/>
      <w:pPr>
        <w:ind w:left="284" w:hanging="284"/>
      </w:pPr>
      <w:rPr>
        <w:rFonts w:ascii="Symbol" w:hAnsi="Symbol" w:hint="default"/>
        <w:color w:val="33979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D31ECD"/>
    <w:multiLevelType w:val="hybridMultilevel"/>
    <w:tmpl w:val="969A3274"/>
    <w:lvl w:ilvl="0" w:tplc="D414A15E">
      <w:start w:val="1"/>
      <w:numFmt w:val="bullet"/>
      <w:lvlText w:val=""/>
      <w:lvlJc w:val="left"/>
      <w:pPr>
        <w:ind w:left="360" w:hanging="360"/>
      </w:pPr>
      <w:rPr>
        <w:rFonts w:ascii="Symbol" w:hAnsi="Symbol" w:hint="default"/>
        <w:b w:val="0"/>
        <w:bCs w:val="0"/>
        <w:i w:val="0"/>
        <w:iCs w:val="0"/>
        <w:color w:val="17B4C2"/>
        <w:w w:val="100"/>
        <w:sz w:val="22"/>
        <w:szCs w:val="1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11"/>
    <w:lvlOverride w:ilvl="0">
      <w:startOverride w:val="1"/>
    </w:lvlOverride>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761"/>
    <w:rsid w:val="0003626E"/>
    <w:rsid w:val="000705EE"/>
    <w:rsid w:val="00084D3A"/>
    <w:rsid w:val="000A3AF8"/>
    <w:rsid w:val="000B48CB"/>
    <w:rsid w:val="000C1BEB"/>
    <w:rsid w:val="000D31A9"/>
    <w:rsid w:val="000E252D"/>
    <w:rsid w:val="00165BD4"/>
    <w:rsid w:val="001D5AF1"/>
    <w:rsid w:val="00230E95"/>
    <w:rsid w:val="00256C23"/>
    <w:rsid w:val="00297CBF"/>
    <w:rsid w:val="002C5330"/>
    <w:rsid w:val="002F5E22"/>
    <w:rsid w:val="002F66F7"/>
    <w:rsid w:val="003847D6"/>
    <w:rsid w:val="003A06FE"/>
    <w:rsid w:val="003E5E95"/>
    <w:rsid w:val="003F6423"/>
    <w:rsid w:val="00402406"/>
    <w:rsid w:val="004147CF"/>
    <w:rsid w:val="004A7565"/>
    <w:rsid w:val="004B536B"/>
    <w:rsid w:val="004C0F59"/>
    <w:rsid w:val="00515524"/>
    <w:rsid w:val="005241B2"/>
    <w:rsid w:val="00577DE8"/>
    <w:rsid w:val="00581B00"/>
    <w:rsid w:val="005A4004"/>
    <w:rsid w:val="005D2DBC"/>
    <w:rsid w:val="005E09FE"/>
    <w:rsid w:val="0064000B"/>
    <w:rsid w:val="0067722C"/>
    <w:rsid w:val="006F1388"/>
    <w:rsid w:val="00725D3D"/>
    <w:rsid w:val="007278DC"/>
    <w:rsid w:val="00727C40"/>
    <w:rsid w:val="007A06C0"/>
    <w:rsid w:val="007A2202"/>
    <w:rsid w:val="00813471"/>
    <w:rsid w:val="00820DCE"/>
    <w:rsid w:val="008A6E39"/>
    <w:rsid w:val="008D0C13"/>
    <w:rsid w:val="00902CDB"/>
    <w:rsid w:val="0098419C"/>
    <w:rsid w:val="009928B0"/>
    <w:rsid w:val="009B1E1A"/>
    <w:rsid w:val="00A96AB9"/>
    <w:rsid w:val="00AF7288"/>
    <w:rsid w:val="00B818D6"/>
    <w:rsid w:val="00BF5CFA"/>
    <w:rsid w:val="00C30985"/>
    <w:rsid w:val="00D412AA"/>
    <w:rsid w:val="00D74549"/>
    <w:rsid w:val="00DA00A7"/>
    <w:rsid w:val="00DC471A"/>
    <w:rsid w:val="00DF4A85"/>
    <w:rsid w:val="00E1480A"/>
    <w:rsid w:val="00E46756"/>
    <w:rsid w:val="00E67761"/>
    <w:rsid w:val="00E77DCA"/>
    <w:rsid w:val="00EE5554"/>
    <w:rsid w:val="00EF6413"/>
    <w:rsid w:val="00F02718"/>
    <w:rsid w:val="00F10D44"/>
    <w:rsid w:val="00F64FD7"/>
    <w:rsid w:val="00F73C5F"/>
    <w:rsid w:val="00F9125E"/>
    <w:rsid w:val="00F936B1"/>
    <w:rsid w:val="00FA6E6A"/>
    <w:rsid w:val="00FE2C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50926"/>
  <w15:chartTrackingRefBased/>
  <w15:docId w15:val="{AEF3EEB3-1102-EB41-B45C-978B36B2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471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9"/>
    <w:qFormat/>
    <w:rsid w:val="00581B00"/>
    <w:pPr>
      <w:suppressAutoHyphens/>
      <w:autoSpaceDE w:val="0"/>
      <w:autoSpaceDN w:val="0"/>
      <w:adjustRightInd w:val="0"/>
      <w:spacing w:before="300" w:after="60" w:line="340" w:lineRule="atLeast"/>
      <w:textAlignment w:val="center"/>
      <w:outlineLvl w:val="1"/>
    </w:pPr>
    <w:rPr>
      <w:rFonts w:ascii="Calibri" w:hAnsi="Calibri" w:cs="Calibri"/>
      <w:b/>
      <w:bCs/>
      <w:color w:val="00000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81B00"/>
    <w:rPr>
      <w:rFonts w:ascii="Calibri" w:hAnsi="Calibri" w:cs="Calibri"/>
      <w:b/>
      <w:bCs/>
      <w:color w:val="000000"/>
      <w:sz w:val="28"/>
      <w:szCs w:val="28"/>
      <w:lang w:val="en-US"/>
    </w:rPr>
  </w:style>
  <w:style w:type="paragraph" w:styleId="BodyText">
    <w:name w:val="Body Text"/>
    <w:link w:val="BodyTextChar"/>
    <w:uiPriority w:val="99"/>
    <w:rsid w:val="009B1E1A"/>
    <w:pPr>
      <w:suppressAutoHyphens/>
      <w:autoSpaceDE w:val="0"/>
      <w:autoSpaceDN w:val="0"/>
      <w:adjustRightInd w:val="0"/>
      <w:spacing w:after="180" w:line="300" w:lineRule="atLeast"/>
      <w:textAlignment w:val="center"/>
    </w:pPr>
    <w:rPr>
      <w:rFonts w:ascii="Calibri Light" w:hAnsi="Calibri Light" w:cs="Calibri Light"/>
      <w:color w:val="000000"/>
      <w:lang w:val="en-US"/>
    </w:rPr>
  </w:style>
  <w:style w:type="character" w:customStyle="1" w:styleId="BodyTextChar">
    <w:name w:val="Body Text Char"/>
    <w:basedOn w:val="DefaultParagraphFont"/>
    <w:link w:val="BodyText"/>
    <w:uiPriority w:val="99"/>
    <w:rsid w:val="009B1E1A"/>
    <w:rPr>
      <w:rFonts w:ascii="Calibri Light" w:hAnsi="Calibri Light" w:cs="Calibri Light"/>
      <w:color w:val="000000"/>
      <w:lang w:val="en-US"/>
    </w:rPr>
  </w:style>
  <w:style w:type="paragraph" w:customStyle="1" w:styleId="bodytextlastline">
    <w:name w:val="body text last line"/>
    <w:basedOn w:val="BodyText"/>
    <w:uiPriority w:val="99"/>
    <w:rsid w:val="00E67761"/>
  </w:style>
  <w:style w:type="paragraph" w:customStyle="1" w:styleId="bullets">
    <w:name w:val="bullets"/>
    <w:uiPriority w:val="99"/>
    <w:rsid w:val="005A4004"/>
    <w:pPr>
      <w:numPr>
        <w:numId w:val="1"/>
      </w:numPr>
      <w:tabs>
        <w:tab w:val="left" w:pos="260"/>
      </w:tabs>
      <w:suppressAutoHyphens/>
      <w:autoSpaceDE w:val="0"/>
      <w:autoSpaceDN w:val="0"/>
      <w:adjustRightInd w:val="0"/>
      <w:spacing w:after="60" w:line="300" w:lineRule="atLeast"/>
      <w:textAlignment w:val="center"/>
    </w:pPr>
    <w:rPr>
      <w:rFonts w:ascii="Calibri Light" w:hAnsi="Calibri Light" w:cs="Calibri Light"/>
      <w:color w:val="000000"/>
      <w:lang w:val="en-US"/>
    </w:rPr>
  </w:style>
  <w:style w:type="character" w:customStyle="1" w:styleId="bold">
    <w:name w:val="bold"/>
    <w:uiPriority w:val="99"/>
    <w:rsid w:val="00E67761"/>
    <w:rPr>
      <w:b/>
      <w:bCs/>
    </w:rPr>
  </w:style>
  <w:style w:type="paragraph" w:customStyle="1" w:styleId="Quotebodytext">
    <w:name w:val="Quote body text"/>
    <w:basedOn w:val="BodyText"/>
    <w:qFormat/>
    <w:rsid w:val="002F66F7"/>
    <w:pPr>
      <w:pBdr>
        <w:bottom w:val="single" w:sz="4" w:space="11" w:color="007D84"/>
      </w:pBdr>
      <w:tabs>
        <w:tab w:val="left" w:pos="284"/>
      </w:tabs>
      <w:spacing w:after="340"/>
      <w:ind w:left="227" w:right="227"/>
    </w:pPr>
    <w:rPr>
      <w:rFonts w:ascii="Calibri" w:hAnsi="Calibri" w:cs="Calibri"/>
    </w:rPr>
  </w:style>
  <w:style w:type="paragraph" w:customStyle="1" w:styleId="Quoteheading">
    <w:name w:val="Quote heading"/>
    <w:next w:val="BodyText"/>
    <w:qFormat/>
    <w:rsid w:val="0064000B"/>
    <w:pPr>
      <w:pBdr>
        <w:top w:val="single" w:sz="4" w:space="7" w:color="007D84"/>
      </w:pBdr>
      <w:ind w:left="227" w:right="227"/>
    </w:pPr>
    <w:rPr>
      <w:rFonts w:ascii="Calibri" w:hAnsi="Calibri" w:cs="Calibri"/>
      <w:b/>
      <w:bCs/>
      <w:color w:val="000000"/>
      <w:sz w:val="28"/>
      <w:szCs w:val="28"/>
      <w:lang w:val="en-US"/>
    </w:rPr>
  </w:style>
  <w:style w:type="paragraph" w:customStyle="1" w:styleId="boldheading">
    <w:name w:val="bold heading"/>
    <w:basedOn w:val="Normal"/>
    <w:uiPriority w:val="99"/>
    <w:rsid w:val="009B1E1A"/>
    <w:pPr>
      <w:suppressAutoHyphens/>
      <w:autoSpaceDE w:val="0"/>
      <w:autoSpaceDN w:val="0"/>
      <w:adjustRightInd w:val="0"/>
      <w:spacing w:before="170" w:after="57" w:line="280" w:lineRule="atLeast"/>
      <w:textAlignment w:val="center"/>
    </w:pPr>
    <w:rPr>
      <w:rFonts w:ascii="Raleway" w:hAnsi="Raleway" w:cs="Raleway"/>
      <w:b/>
      <w:bCs/>
      <w:color w:val="000000"/>
      <w:lang w:val="en-US"/>
    </w:rPr>
  </w:style>
  <w:style w:type="paragraph" w:customStyle="1" w:styleId="Factsheet">
    <w:name w:val="Fact sheet"/>
    <w:basedOn w:val="boldheading"/>
    <w:qFormat/>
    <w:rsid w:val="00581B00"/>
    <w:pPr>
      <w:spacing w:before="0" w:after="0"/>
      <w:ind w:left="57"/>
    </w:pPr>
    <w:rPr>
      <w:rFonts w:ascii="Arial" w:hAnsi="Arial" w:cs="Arial"/>
      <w:color w:val="595959" w:themeColor="text1" w:themeTint="A6"/>
      <w:sz w:val="30"/>
      <w:szCs w:val="30"/>
    </w:rPr>
  </w:style>
  <w:style w:type="paragraph" w:customStyle="1" w:styleId="Heading1-title">
    <w:name w:val="Heading 1 - title"/>
    <w:basedOn w:val="Heading1"/>
    <w:next w:val="Heading1"/>
    <w:qFormat/>
    <w:rsid w:val="00AF7288"/>
    <w:pPr>
      <w:spacing w:before="0" w:after="240"/>
    </w:pPr>
    <w:rPr>
      <w:rFonts w:ascii="Calibri Light" w:hAnsi="Calibri Light" w:cs="Calibri Light"/>
      <w:color w:val="000000"/>
      <w:sz w:val="72"/>
      <w:szCs w:val="72"/>
      <w:lang w:val="en-US"/>
    </w:rPr>
  </w:style>
  <w:style w:type="paragraph" w:styleId="FootnoteText">
    <w:name w:val="footnote text"/>
    <w:basedOn w:val="Normal"/>
    <w:link w:val="FootnoteTextChar"/>
    <w:uiPriority w:val="99"/>
    <w:semiHidden/>
    <w:unhideWhenUsed/>
    <w:rsid w:val="00084D3A"/>
    <w:rPr>
      <w:sz w:val="20"/>
      <w:szCs w:val="20"/>
    </w:rPr>
  </w:style>
  <w:style w:type="character" w:customStyle="1" w:styleId="FootnoteTextChar">
    <w:name w:val="Footnote Text Char"/>
    <w:basedOn w:val="DefaultParagraphFont"/>
    <w:link w:val="FootnoteText"/>
    <w:uiPriority w:val="99"/>
    <w:semiHidden/>
    <w:rsid w:val="00084D3A"/>
    <w:rPr>
      <w:sz w:val="20"/>
      <w:szCs w:val="20"/>
    </w:rPr>
  </w:style>
  <w:style w:type="character" w:styleId="FootnoteReference">
    <w:name w:val="footnote reference"/>
    <w:basedOn w:val="DefaultParagraphFont"/>
    <w:uiPriority w:val="99"/>
    <w:semiHidden/>
    <w:unhideWhenUsed/>
    <w:rsid w:val="00084D3A"/>
    <w:rPr>
      <w:vertAlign w:val="superscript"/>
    </w:rPr>
  </w:style>
  <w:style w:type="character" w:styleId="Hyperlink">
    <w:name w:val="Hyperlink"/>
    <w:basedOn w:val="DefaultParagraphFont"/>
    <w:uiPriority w:val="99"/>
    <w:rsid w:val="008A6E39"/>
    <w:rPr>
      <w:color w:val="B292CA"/>
      <w:w w:val="100"/>
      <w:u w:val="thick" w:color="B292CA"/>
    </w:rPr>
  </w:style>
  <w:style w:type="paragraph" w:customStyle="1" w:styleId="footnote">
    <w:name w:val="footnote"/>
    <w:basedOn w:val="BodyText"/>
    <w:qFormat/>
    <w:rsid w:val="00902CDB"/>
    <w:pPr>
      <w:spacing w:after="60" w:line="200" w:lineRule="atLeast"/>
    </w:pPr>
    <w:rPr>
      <w:sz w:val="20"/>
      <w:szCs w:val="16"/>
    </w:rPr>
  </w:style>
  <w:style w:type="paragraph" w:customStyle="1" w:styleId="Hyperlink1">
    <w:name w:val="Hyperlink 1"/>
    <w:next w:val="Normal"/>
    <w:link w:val="Hyperlink1Char"/>
    <w:qFormat/>
    <w:rsid w:val="005D2DBC"/>
    <w:rPr>
      <w:rFonts w:ascii="Calibri Light" w:hAnsi="Calibri Light" w:cs="Calibri Light"/>
      <w:color w:val="000000"/>
      <w:sz w:val="16"/>
      <w:szCs w:val="16"/>
      <w:u w:val="single"/>
      <w:lang w:val="en-US"/>
    </w:rPr>
  </w:style>
  <w:style w:type="character" w:customStyle="1" w:styleId="Hyperlink1Char">
    <w:name w:val="Hyperlink 1 Char"/>
    <w:basedOn w:val="DefaultParagraphFont"/>
    <w:link w:val="Hyperlink1"/>
    <w:rsid w:val="005D2DBC"/>
    <w:rPr>
      <w:rFonts w:ascii="Calibri Light" w:hAnsi="Calibri Light" w:cs="Calibri Light"/>
      <w:color w:val="000000"/>
      <w:sz w:val="16"/>
      <w:szCs w:val="16"/>
      <w:u w:val="single"/>
      <w:lang w:val="en-US"/>
    </w:rPr>
  </w:style>
  <w:style w:type="paragraph" w:styleId="Footer">
    <w:name w:val="footer"/>
    <w:basedOn w:val="Normal"/>
    <w:link w:val="FooterChar"/>
    <w:uiPriority w:val="99"/>
    <w:unhideWhenUsed/>
    <w:rsid w:val="0064000B"/>
    <w:pPr>
      <w:tabs>
        <w:tab w:val="center" w:pos="4513"/>
        <w:tab w:val="right" w:pos="9026"/>
      </w:tabs>
    </w:pPr>
  </w:style>
  <w:style w:type="character" w:customStyle="1" w:styleId="FooterChar">
    <w:name w:val="Footer Char"/>
    <w:basedOn w:val="DefaultParagraphFont"/>
    <w:link w:val="Footer"/>
    <w:uiPriority w:val="99"/>
    <w:rsid w:val="0064000B"/>
  </w:style>
  <w:style w:type="character" w:styleId="PageNumber">
    <w:name w:val="page number"/>
    <w:basedOn w:val="DefaultParagraphFont"/>
    <w:uiPriority w:val="99"/>
    <w:semiHidden/>
    <w:unhideWhenUsed/>
    <w:rsid w:val="0064000B"/>
  </w:style>
  <w:style w:type="paragraph" w:styleId="Header">
    <w:name w:val="header"/>
    <w:basedOn w:val="Normal"/>
    <w:link w:val="HeaderChar"/>
    <w:uiPriority w:val="99"/>
    <w:unhideWhenUsed/>
    <w:rsid w:val="0064000B"/>
    <w:pPr>
      <w:tabs>
        <w:tab w:val="center" w:pos="4513"/>
        <w:tab w:val="right" w:pos="9026"/>
      </w:tabs>
    </w:pPr>
  </w:style>
  <w:style w:type="character" w:customStyle="1" w:styleId="HeaderChar">
    <w:name w:val="Header Char"/>
    <w:basedOn w:val="DefaultParagraphFont"/>
    <w:link w:val="Header"/>
    <w:uiPriority w:val="99"/>
    <w:rsid w:val="0064000B"/>
  </w:style>
  <w:style w:type="paragraph" w:styleId="Revision">
    <w:name w:val="Revision"/>
    <w:hidden/>
    <w:uiPriority w:val="99"/>
    <w:semiHidden/>
    <w:rsid w:val="00C30985"/>
  </w:style>
  <w:style w:type="paragraph" w:styleId="Caption">
    <w:name w:val="caption"/>
    <w:basedOn w:val="Normal"/>
    <w:next w:val="Normal"/>
    <w:uiPriority w:val="35"/>
    <w:unhideWhenUsed/>
    <w:qFormat/>
    <w:rsid w:val="003847D6"/>
    <w:pPr>
      <w:spacing w:before="120" w:after="200"/>
    </w:pPr>
    <w:rPr>
      <w:rFonts w:cs="Times New Roman (Body CS)"/>
      <w:iCs/>
      <w:color w:val="000000" w:themeColor="text1"/>
      <w:sz w:val="18"/>
      <w:szCs w:val="18"/>
    </w:rPr>
  </w:style>
  <w:style w:type="paragraph" w:customStyle="1" w:styleId="Heading31">
    <w:name w:val="Heading 31"/>
    <w:qFormat/>
    <w:rsid w:val="00BF5CFA"/>
    <w:pPr>
      <w:spacing w:before="240" w:after="60"/>
    </w:pPr>
    <w:rPr>
      <w:rFonts w:ascii="Calibri" w:hAnsi="Calibri" w:cs="Calibri Light"/>
      <w:b/>
      <w:bCs/>
      <w:color w:val="000000"/>
      <w:lang w:val="en-US"/>
    </w:rPr>
  </w:style>
  <w:style w:type="paragraph" w:styleId="EndnoteText">
    <w:name w:val="endnote text"/>
    <w:basedOn w:val="Normal"/>
    <w:link w:val="EndnoteTextChar"/>
    <w:uiPriority w:val="99"/>
    <w:semiHidden/>
    <w:unhideWhenUsed/>
    <w:rsid w:val="00402406"/>
    <w:rPr>
      <w:sz w:val="20"/>
      <w:szCs w:val="20"/>
    </w:rPr>
  </w:style>
  <w:style w:type="character" w:customStyle="1" w:styleId="Heading1Char">
    <w:name w:val="Heading 1 Char"/>
    <w:basedOn w:val="DefaultParagraphFont"/>
    <w:link w:val="Heading1"/>
    <w:uiPriority w:val="9"/>
    <w:rsid w:val="00DC471A"/>
    <w:rPr>
      <w:rFonts w:asciiTheme="majorHAnsi" w:eastAsiaTheme="majorEastAsia" w:hAnsiTheme="majorHAnsi" w:cstheme="majorBidi"/>
      <w:color w:val="2F5496" w:themeColor="accent1" w:themeShade="BF"/>
      <w:sz w:val="32"/>
      <w:szCs w:val="32"/>
    </w:rPr>
  </w:style>
  <w:style w:type="character" w:customStyle="1" w:styleId="EndnoteTextChar">
    <w:name w:val="Endnote Text Char"/>
    <w:basedOn w:val="DefaultParagraphFont"/>
    <w:link w:val="EndnoteText"/>
    <w:uiPriority w:val="99"/>
    <w:semiHidden/>
    <w:rsid w:val="00402406"/>
    <w:rPr>
      <w:sz w:val="20"/>
      <w:szCs w:val="20"/>
    </w:rPr>
  </w:style>
  <w:style w:type="character" w:styleId="EndnoteReference">
    <w:name w:val="endnote reference"/>
    <w:basedOn w:val="DefaultParagraphFont"/>
    <w:uiPriority w:val="99"/>
    <w:semiHidden/>
    <w:unhideWhenUsed/>
    <w:rsid w:val="00402406"/>
    <w:rPr>
      <w:vertAlign w:val="superscript"/>
    </w:rPr>
  </w:style>
  <w:style w:type="character" w:styleId="CommentReference">
    <w:name w:val="annotation reference"/>
    <w:basedOn w:val="DefaultParagraphFont"/>
    <w:uiPriority w:val="99"/>
    <w:semiHidden/>
    <w:unhideWhenUsed/>
    <w:rsid w:val="002C5330"/>
    <w:rPr>
      <w:sz w:val="16"/>
      <w:szCs w:val="16"/>
    </w:rPr>
  </w:style>
  <w:style w:type="paragraph" w:styleId="CommentText">
    <w:name w:val="annotation text"/>
    <w:basedOn w:val="Normal"/>
    <w:link w:val="CommentTextChar"/>
    <w:uiPriority w:val="99"/>
    <w:semiHidden/>
    <w:unhideWhenUsed/>
    <w:rsid w:val="002C5330"/>
    <w:rPr>
      <w:sz w:val="20"/>
      <w:szCs w:val="20"/>
    </w:rPr>
  </w:style>
  <w:style w:type="character" w:customStyle="1" w:styleId="CommentTextChar">
    <w:name w:val="Comment Text Char"/>
    <w:basedOn w:val="DefaultParagraphFont"/>
    <w:link w:val="CommentText"/>
    <w:uiPriority w:val="99"/>
    <w:semiHidden/>
    <w:rsid w:val="002C5330"/>
    <w:rPr>
      <w:sz w:val="20"/>
      <w:szCs w:val="20"/>
    </w:rPr>
  </w:style>
  <w:style w:type="paragraph" w:styleId="CommentSubject">
    <w:name w:val="annotation subject"/>
    <w:basedOn w:val="CommentText"/>
    <w:next w:val="CommentText"/>
    <w:link w:val="CommentSubjectChar"/>
    <w:uiPriority w:val="99"/>
    <w:semiHidden/>
    <w:unhideWhenUsed/>
    <w:rsid w:val="002C5330"/>
    <w:rPr>
      <w:b/>
      <w:bCs/>
    </w:rPr>
  </w:style>
  <w:style w:type="character" w:customStyle="1" w:styleId="CommentSubjectChar">
    <w:name w:val="Comment Subject Char"/>
    <w:basedOn w:val="CommentTextChar"/>
    <w:link w:val="CommentSubject"/>
    <w:uiPriority w:val="99"/>
    <w:semiHidden/>
    <w:rsid w:val="002C5330"/>
    <w:rPr>
      <w:b/>
      <w:bCs/>
      <w:sz w:val="20"/>
      <w:szCs w:val="20"/>
    </w:rPr>
  </w:style>
  <w:style w:type="paragraph" w:styleId="BalloonText">
    <w:name w:val="Balloon Text"/>
    <w:basedOn w:val="Normal"/>
    <w:link w:val="BalloonTextChar"/>
    <w:uiPriority w:val="99"/>
    <w:semiHidden/>
    <w:unhideWhenUsed/>
    <w:rsid w:val="002C53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3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c5611b894cf49d8aeeb8ebf39dc09bc xmlns="65857967-e8c9-4063-9a29-bba3c199914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65857967-e8c9-4063-9a29-bba3c199914d">SHD21-100053</ShareHubID>
    <PMCNotes xmlns="65857967-e8c9-4063-9a29-bba3c199914d" xsi:nil="true"/>
    <jd1c641577414dfdab1686c9d5d0dbd0 xmlns="65857967-e8c9-4063-9a29-bba3c199914d">
      <Terms xmlns="http://schemas.microsoft.com/office/infopath/2007/PartnerControls"/>
    </jd1c641577414dfdab1686c9d5d0dbd0>
    <NonRecordJustification xmlns="685f9fda-bd71-4433-b331-92feb9553089">None</NonRecordJustification>
    <TaxCatchAll xmlns="65857967-e8c9-4063-9a29-bba3c199914d">
      <Value>5</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5AF1B7269A9B8E47B5E4F32F8BED3F9B" ma:contentTypeVersion="7" ma:contentTypeDescription="ShareHub Document" ma:contentTypeScope="" ma:versionID="d5aec796261a67e275de22e79980bebc">
  <xsd:schema xmlns:xsd="http://www.w3.org/2001/XMLSchema" xmlns:xs="http://www.w3.org/2001/XMLSchema" xmlns:p="http://schemas.microsoft.com/office/2006/metadata/properties" xmlns:ns1="65857967-e8c9-4063-9a29-bba3c199914d" xmlns:ns3="685f9fda-bd71-4433-b331-92feb9553089" targetNamespace="http://schemas.microsoft.com/office/2006/metadata/properties" ma:root="true" ma:fieldsID="78bbd438d0bf37c07ec5f5dfbc1e3147" ns1:_="" ns3:_="">
    <xsd:import namespace="65857967-e8c9-4063-9a29-bba3c199914d"/>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57967-e8c9-4063-9a29-bba3c199914d"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7addd63-b777-46d0-acae-455a9f4ded8a}" ma:internalName="TaxCatchAll" ma:showField="CatchAllData" ma:web="65857967-e8c9-4063-9a29-bba3c199914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7addd63-b777-46d0-acae-455a9f4ded8a}" ma:internalName="TaxCatchAllLabel" ma:readOnly="true" ma:showField="CatchAllDataLabel" ma:web="65857967-e8c9-4063-9a29-bba3c199914d">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03982-6190-4F12-8DC7-D7350D6C46ED}">
  <ds:schemaRefs>
    <ds:schemaRef ds:uri="http://schemas.microsoft.com/office/2006/metadata/properties"/>
    <ds:schemaRef ds:uri="http://schemas.microsoft.com/office/infopath/2007/PartnerControls"/>
    <ds:schemaRef ds:uri="65857967-e8c9-4063-9a29-bba3c199914d"/>
    <ds:schemaRef ds:uri="685f9fda-bd71-4433-b331-92feb9553089"/>
  </ds:schemaRefs>
</ds:datastoreItem>
</file>

<file path=customXml/itemProps2.xml><?xml version="1.0" encoding="utf-8"?>
<ds:datastoreItem xmlns:ds="http://schemas.openxmlformats.org/officeDocument/2006/customXml" ds:itemID="{8A858489-9A7A-4D58-AFB5-968281F9A1D2}">
  <ds:schemaRefs>
    <ds:schemaRef ds:uri="http://schemas.microsoft.com/sharepoint/v3/contenttype/forms"/>
  </ds:schemaRefs>
</ds:datastoreItem>
</file>

<file path=customXml/itemProps3.xml><?xml version="1.0" encoding="utf-8"?>
<ds:datastoreItem xmlns:ds="http://schemas.openxmlformats.org/officeDocument/2006/customXml" ds:itemID="{FCD38094-5F02-4F70-AF3C-E4CD5A026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57967-e8c9-4063-9a29-bba3c199914d"/>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E6E541-39D0-42BE-8EEB-ED1BFFCD4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Sverdlin, Helena</cp:lastModifiedBy>
  <cp:revision>3</cp:revision>
  <cp:lastPrinted>2021-11-26T01:25:00Z</cp:lastPrinted>
  <dcterms:created xsi:type="dcterms:W3CDTF">2021-12-21T04:27:00Z</dcterms:created>
  <dcterms:modified xsi:type="dcterms:W3CDTF">2021-12-21T04:31:00Z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0x0101002825A64A6E1845A99A9D8EE8A5686ECB005AF1B7269A9B8E47B5E4F32F8BED3F9B</vt:lpwstr>
  </property>
  <property fmtid="{D5CDD505-2E9C-101B-9397-08002B2CF9AE}" pid="3" name="HPRMSecurityLevel">
    <vt:lpwstr>5;#OFFICIAL|11463c70-78df-4e3b-b0ff-f66cd3cb26ec</vt:lpwstr>
  </property>
  <property fmtid="{D5CDD505-2E9C-101B-9397-08002B2CF9AE}" pid="4" name="HPRMSecurityCaveat">
    <vt:lpwstr/>
  </property>
</Properties>
</file>