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75ECB" w14:textId="3100A3DF" w:rsidR="00902CDB" w:rsidRDefault="00DC471A" w:rsidP="00902CDB">
      <w:pPr>
        <w:pStyle w:val="Factsheet"/>
      </w:pPr>
      <w:r>
        <w:rPr>
          <w:noProof/>
          <w:lang w:val="en-AU" w:eastAsia="en-AU"/>
        </w:rPr>
        <w:drawing>
          <wp:anchor distT="0" distB="0" distL="114300" distR="114300" simplePos="0" relativeHeight="251669504" behindDoc="1" locked="0" layoutInCell="1" allowOverlap="1" wp14:anchorId="6423225D" wp14:editId="1FBACA20">
            <wp:simplePos x="0" y="0"/>
            <wp:positionH relativeFrom="leftMargin">
              <wp:posOffset>408077</wp:posOffset>
            </wp:positionH>
            <wp:positionV relativeFrom="paragraph">
              <wp:posOffset>-3835</wp:posOffset>
            </wp:positionV>
            <wp:extent cx="558800" cy="685800"/>
            <wp:effectExtent l="0" t="0" r="0" b="0"/>
            <wp:wrapNone/>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800" cy="685800"/>
                    </a:xfrm>
                    <a:prstGeom prst="rect">
                      <a:avLst/>
                    </a:prstGeom>
                  </pic:spPr>
                </pic:pic>
              </a:graphicData>
            </a:graphic>
            <wp14:sizeRelH relativeFrom="page">
              <wp14:pctWidth>0</wp14:pctWidth>
            </wp14:sizeRelH>
            <wp14:sizeRelV relativeFrom="page">
              <wp14:pctHeight>0</wp14:pctHeight>
            </wp14:sizeRelV>
          </wp:anchor>
        </w:drawing>
      </w:r>
      <w:r w:rsidR="009928B0">
        <w:t>Factsheet</w:t>
      </w:r>
    </w:p>
    <w:p w14:paraId="42B395CC" w14:textId="4ABD0F2D" w:rsidR="009928B0" w:rsidRDefault="00C83C5F" w:rsidP="00902CDB">
      <w:pPr>
        <w:pStyle w:val="Heading1-title"/>
      </w:pPr>
      <w:r>
        <w:t>Imposing a sanction</w:t>
      </w:r>
    </w:p>
    <w:p w14:paraId="533AE540" w14:textId="77777777" w:rsidR="00902CDB" w:rsidRDefault="00902CDB" w:rsidP="00902CDB">
      <w:pPr>
        <w:pStyle w:val="BodyText"/>
        <w:sectPr w:rsidR="00902CDB" w:rsidSect="00D74549">
          <w:headerReference w:type="default" r:id="rId12"/>
          <w:footerReference w:type="even" r:id="rId13"/>
          <w:footerReference w:type="default" r:id="rId14"/>
          <w:headerReference w:type="first" r:id="rId15"/>
          <w:footerReference w:type="first" r:id="rId16"/>
          <w:type w:val="continuous"/>
          <w:pgSz w:w="11900" w:h="16840"/>
          <w:pgMar w:top="3828" w:right="1418" w:bottom="1418" w:left="1361" w:header="720" w:footer="720" w:gutter="369"/>
          <w:pgNumType w:start="1"/>
          <w:cols w:space="369"/>
          <w:noEndnote/>
          <w:titlePg/>
          <w:docGrid w:linePitch="326"/>
        </w:sectPr>
      </w:pPr>
    </w:p>
    <w:p w14:paraId="46DE9378" w14:textId="54BDDFB8" w:rsidR="00C83C5F" w:rsidRPr="00C83C5F" w:rsidRDefault="00C83C5F" w:rsidP="00C83C5F">
      <w:pPr>
        <w:pStyle w:val="BodyText"/>
        <w:rPr>
          <w:lang w:val="en-AU"/>
        </w:rPr>
      </w:pPr>
      <w:r w:rsidRPr="00C83C5F">
        <w:rPr>
          <w:lang w:val="en-AU"/>
        </w:rPr>
        <w:t xml:space="preserve">Once a determination has been made that an employee has breached the </w:t>
      </w:r>
      <w:r w:rsidR="0084122C">
        <w:rPr>
          <w:lang w:val="en-AU"/>
        </w:rPr>
        <w:t xml:space="preserve">APS </w:t>
      </w:r>
      <w:r w:rsidRPr="00C83C5F">
        <w:rPr>
          <w:lang w:val="en-AU"/>
        </w:rPr>
        <w:t>Code</w:t>
      </w:r>
      <w:r w:rsidR="0084122C">
        <w:rPr>
          <w:lang w:val="en-AU"/>
        </w:rPr>
        <w:t xml:space="preserve"> of Conduct (Code)</w:t>
      </w:r>
      <w:r w:rsidRPr="00C83C5F">
        <w:rPr>
          <w:lang w:val="en-AU"/>
        </w:rPr>
        <w:t xml:space="preserve">, the next stage in the misconduct process is the consideration of an appropriate sanction. A sanction can only be imposed on an employee who has been found under agency </w:t>
      </w:r>
      <w:r w:rsidR="00831396">
        <w:rPr>
          <w:lang w:val="en-AU"/>
        </w:rPr>
        <w:t xml:space="preserve">procedures established in accordance with </w:t>
      </w:r>
      <w:r w:rsidRPr="00C83C5F">
        <w:rPr>
          <w:lang w:val="en-AU"/>
        </w:rPr>
        <w:t xml:space="preserve">s.15(3) </w:t>
      </w:r>
      <w:r w:rsidR="00831396">
        <w:rPr>
          <w:lang w:val="en-AU"/>
        </w:rPr>
        <w:t xml:space="preserve">of the </w:t>
      </w:r>
      <w:r w:rsidR="00831396">
        <w:rPr>
          <w:i/>
          <w:lang w:val="en-AU"/>
        </w:rPr>
        <w:t xml:space="preserve">Public Service Act 1999 </w:t>
      </w:r>
      <w:r w:rsidR="00831396">
        <w:rPr>
          <w:lang w:val="en-AU"/>
        </w:rPr>
        <w:t xml:space="preserve">(PS Act) </w:t>
      </w:r>
      <w:r w:rsidRPr="00C83C5F">
        <w:rPr>
          <w:lang w:val="en-AU"/>
        </w:rPr>
        <w:t>to have breached the Code.</w:t>
      </w:r>
    </w:p>
    <w:p w14:paraId="2FC98262" w14:textId="4AE5D8ED" w:rsidR="00C83C5F" w:rsidRPr="00C83C5F" w:rsidRDefault="00C83C5F" w:rsidP="00C83C5F">
      <w:pPr>
        <w:pStyle w:val="BodyText"/>
        <w:rPr>
          <w:lang w:val="en-AU"/>
        </w:rPr>
      </w:pPr>
      <w:r w:rsidRPr="00C83C5F">
        <w:rPr>
          <w:lang w:val="en-AU"/>
        </w:rPr>
        <w:t>Before a sanction may be imposed, the employee must be informed of the sanctions under consideration and the factors under consideration in deciding a sanction, and given reasonable opportunity to make a statement in relation to the sanctions under consideration (s.</w:t>
      </w:r>
      <w:r w:rsidR="005672B2">
        <w:rPr>
          <w:lang w:val="en-AU"/>
        </w:rPr>
        <w:t>60</w:t>
      </w:r>
      <w:r w:rsidRPr="00C83C5F">
        <w:rPr>
          <w:lang w:val="en-AU"/>
        </w:rPr>
        <w:t xml:space="preserve"> of the </w:t>
      </w:r>
      <w:r w:rsidR="00F758E4" w:rsidRPr="00420F4B">
        <w:rPr>
          <w:i/>
        </w:rPr>
        <w:t>Australian Public Service Commissioner’s Directions 20</w:t>
      </w:r>
      <w:r w:rsidR="009303DB">
        <w:rPr>
          <w:i/>
        </w:rPr>
        <w:t>22</w:t>
      </w:r>
      <w:r>
        <w:rPr>
          <w:lang w:val="en-AU"/>
        </w:rPr>
        <w:t>).</w:t>
      </w:r>
    </w:p>
    <w:p w14:paraId="6A2DF09E" w14:textId="3418F9E6" w:rsidR="0074404B" w:rsidRDefault="00C83C5F" w:rsidP="0074404B">
      <w:pPr>
        <w:pStyle w:val="BodyText"/>
        <w:rPr>
          <w:lang w:val="en-AU"/>
        </w:rPr>
      </w:pPr>
      <w:r w:rsidRPr="00C83C5F">
        <w:rPr>
          <w:lang w:val="en-AU"/>
        </w:rPr>
        <w:t>Where there are separate decision-makers for breach and sanction, it is open to the breach decision-maker to make recommendations about sanction. However, the sanction decision-maker needs to exercise the sanction power independently, based on their own consideration of the relevant matters. In making the sanction decision, the sanction decision-maker accepts, and acts on the basis of, the findings of the breach decision-maker.</w:t>
      </w:r>
    </w:p>
    <w:p w14:paraId="01A6FA26" w14:textId="265EBE0D" w:rsidR="0074404B" w:rsidRPr="00725D3D" w:rsidRDefault="0074404B" w:rsidP="00831396">
      <w:pPr>
        <w:pStyle w:val="Heading2"/>
        <w:spacing w:before="0" w:after="120"/>
      </w:pPr>
      <w:r>
        <w:t>Available sanctions</w:t>
      </w:r>
    </w:p>
    <w:p w14:paraId="7DD7418B" w14:textId="115762EF" w:rsidR="0074404B" w:rsidRDefault="0074404B" w:rsidP="0074404B">
      <w:pPr>
        <w:pStyle w:val="BodyText"/>
      </w:pPr>
      <w:r w:rsidRPr="00BE5054">
        <w:t>A sanction decision-maker may impose one or more of the following sanctions (s.15(1) of the PS Act):</w:t>
      </w:r>
    </w:p>
    <w:p w14:paraId="45FA651D" w14:textId="77777777" w:rsidR="0074404B" w:rsidRDefault="0074404B" w:rsidP="00831396">
      <w:pPr>
        <w:pStyle w:val="BodyText"/>
        <w:numPr>
          <w:ilvl w:val="0"/>
          <w:numId w:val="14"/>
        </w:numPr>
        <w:spacing w:after="120"/>
        <w:ind w:left="357" w:hanging="357"/>
      </w:pPr>
      <w:r>
        <w:t>termination of employment</w:t>
      </w:r>
    </w:p>
    <w:p w14:paraId="3205D30A" w14:textId="77777777" w:rsidR="0074404B" w:rsidRDefault="0074404B" w:rsidP="00831396">
      <w:pPr>
        <w:pStyle w:val="BodyText"/>
        <w:numPr>
          <w:ilvl w:val="0"/>
          <w:numId w:val="14"/>
        </w:numPr>
        <w:spacing w:after="120"/>
        <w:ind w:left="357" w:hanging="357"/>
      </w:pPr>
      <w:r>
        <w:t>reduction in classification</w:t>
      </w:r>
    </w:p>
    <w:p w14:paraId="247E07BE" w14:textId="77777777" w:rsidR="0074404B" w:rsidRDefault="0074404B" w:rsidP="00831396">
      <w:pPr>
        <w:pStyle w:val="BodyText"/>
        <w:numPr>
          <w:ilvl w:val="0"/>
          <w:numId w:val="14"/>
        </w:numPr>
        <w:spacing w:after="120"/>
        <w:ind w:left="357" w:hanging="357"/>
      </w:pPr>
      <w:r>
        <w:t>re-assignment of duties</w:t>
      </w:r>
    </w:p>
    <w:p w14:paraId="11FBC716" w14:textId="77777777" w:rsidR="0074404B" w:rsidRDefault="0074404B" w:rsidP="00831396">
      <w:pPr>
        <w:pStyle w:val="BodyText"/>
        <w:numPr>
          <w:ilvl w:val="0"/>
          <w:numId w:val="14"/>
        </w:numPr>
        <w:spacing w:after="120"/>
        <w:ind w:left="357" w:hanging="357"/>
      </w:pPr>
      <w:r>
        <w:t>reduction in salary</w:t>
      </w:r>
    </w:p>
    <w:p w14:paraId="6668FCBF" w14:textId="328E5A94" w:rsidR="0074404B" w:rsidRDefault="0074404B" w:rsidP="00831396">
      <w:pPr>
        <w:pStyle w:val="BodyText"/>
        <w:numPr>
          <w:ilvl w:val="0"/>
          <w:numId w:val="14"/>
        </w:numPr>
        <w:spacing w:after="120"/>
        <w:ind w:left="357" w:hanging="357"/>
      </w:pPr>
      <w:r>
        <w:t>deductions</w:t>
      </w:r>
      <w:r w:rsidR="00831396">
        <w:t xml:space="preserve"> from salary, by way of fine</w:t>
      </w:r>
    </w:p>
    <w:p w14:paraId="1A6FAED5" w14:textId="76E5BBF7" w:rsidR="0074404B" w:rsidRPr="0074404B" w:rsidRDefault="0074404B" w:rsidP="00831396">
      <w:pPr>
        <w:pStyle w:val="BodyText"/>
        <w:numPr>
          <w:ilvl w:val="0"/>
          <w:numId w:val="14"/>
        </w:numPr>
        <w:spacing w:after="120"/>
        <w:ind w:left="357" w:hanging="357"/>
      </w:pPr>
      <w:r>
        <w:t>a reprimand.</w:t>
      </w:r>
    </w:p>
    <w:p w14:paraId="4AB69732" w14:textId="04F14AED" w:rsidR="00902CDB" w:rsidRPr="00725D3D" w:rsidRDefault="00C83C5F" w:rsidP="00831396">
      <w:pPr>
        <w:pStyle w:val="Heading2"/>
        <w:spacing w:before="240" w:after="120"/>
      </w:pPr>
      <w:r>
        <w:t>Factors for consideration</w:t>
      </w:r>
    </w:p>
    <w:p w14:paraId="5E31BE28" w14:textId="1930B156" w:rsidR="00C83C5F" w:rsidRDefault="00C83C5F" w:rsidP="00C83C5F">
      <w:pPr>
        <w:pStyle w:val="BodyText"/>
      </w:pPr>
      <w:r>
        <w:t>A sanction should provide a clear message to the employee that their behaviour was not acceptable, and deter them from repeating the behaviour. The ability of agencies to impose sanctions on employees found to have breached the Code is also intended to act as a general deterrent to all employees.</w:t>
      </w:r>
    </w:p>
    <w:p w14:paraId="2E7CE6FE" w14:textId="5EBBE559" w:rsidR="00C83C5F" w:rsidRDefault="00C83C5F" w:rsidP="00C83C5F">
      <w:pPr>
        <w:pStyle w:val="BodyText"/>
      </w:pPr>
      <w:r>
        <w:t>Sanctions should always be proportionate to the nature of the breach—where a sanction is too lenient, it is unlikely to change behavi</w:t>
      </w:r>
      <w:r w:rsidR="0074404B">
        <w:t xml:space="preserve">our; if it is too severe, it is </w:t>
      </w:r>
      <w:r>
        <w:t>likely to be seen as unfair and may be counterproductive. There is no necessary link between the number of elements of the Code that an employee has breached and the severity of the sanction.</w:t>
      </w:r>
    </w:p>
    <w:p w14:paraId="59D344E9" w14:textId="1A7A59A2" w:rsidR="00902CDB" w:rsidRDefault="00C83C5F" w:rsidP="00902CDB">
      <w:pPr>
        <w:pStyle w:val="BodyText"/>
      </w:pPr>
      <w:r>
        <w:lastRenderedPageBreak/>
        <w:t>Management action such as counselling, training, mentoring, closer supervision, or alternative dispute resolution may be considered more appropriate than a sanction in some cases. If this is decided, agencies should make clear to the employee that no sanction has been imposed. Such actions may also be taken in addition to a sanction if they are likely to assist the employee to change their behaviour. Again, agencies should clearly distinguish sanctions from management actions in such cases.</w:t>
      </w:r>
    </w:p>
    <w:p w14:paraId="501FE13B" w14:textId="77777777" w:rsidR="00C83C5F" w:rsidRDefault="00C83C5F" w:rsidP="00C83C5F">
      <w:pPr>
        <w:pStyle w:val="BodyText"/>
      </w:pPr>
      <w:r>
        <w:t>Prior misconduct is relevant to the imposition of a sanction, and should be taken into account by the sanction decision-maker where it:</w:t>
      </w:r>
    </w:p>
    <w:p w14:paraId="72106FEB" w14:textId="0CE896D4" w:rsidR="00C83C5F" w:rsidRDefault="00C83C5F" w:rsidP="00831396">
      <w:pPr>
        <w:pStyle w:val="BodyText"/>
        <w:numPr>
          <w:ilvl w:val="0"/>
          <w:numId w:val="14"/>
        </w:numPr>
      </w:pPr>
      <w:r>
        <w:t>indicates that the employee was, or should have been, well aware of the standard of conduct expected and the potential consequences of misconduct, or</w:t>
      </w:r>
    </w:p>
    <w:p w14:paraId="246BE96E" w14:textId="4B3337D7" w:rsidR="00C83C5F" w:rsidRDefault="00C83C5F" w:rsidP="00831396">
      <w:pPr>
        <w:pStyle w:val="BodyText"/>
        <w:numPr>
          <w:ilvl w:val="0"/>
          <w:numId w:val="14"/>
        </w:numPr>
      </w:pPr>
      <w:r>
        <w:t>demonstrates that the employee may be unwilling to adhere to the standard of conduct expected.</w:t>
      </w:r>
    </w:p>
    <w:p w14:paraId="05F75D76" w14:textId="5AE6F780" w:rsidR="00C83C5F" w:rsidRPr="00813471" w:rsidRDefault="00C83C5F" w:rsidP="00C83C5F">
      <w:pPr>
        <w:pStyle w:val="BodyText"/>
      </w:pPr>
      <w:r>
        <w:t>Sanction decision-makers should have regard to the impact of unconscious bias on their deliberations and decisions.</w:t>
      </w:r>
    </w:p>
    <w:p w14:paraId="2D376D14" w14:textId="1C288F10" w:rsidR="00BE5054" w:rsidRDefault="00BE5054" w:rsidP="00831396">
      <w:pPr>
        <w:pStyle w:val="Heading2"/>
        <w:spacing w:before="240" w:after="120"/>
      </w:pPr>
      <w:r>
        <w:t>Recording the sanction decision and advising the outcome</w:t>
      </w:r>
    </w:p>
    <w:p w14:paraId="180F6AB5" w14:textId="72831C35" w:rsidR="00902CDB" w:rsidRDefault="0074404B" w:rsidP="00902CDB">
      <w:pPr>
        <w:pStyle w:val="BodyText"/>
      </w:pPr>
      <w:r>
        <w:rPr>
          <w:noProof/>
          <w:lang w:val="en-AU" w:eastAsia="en-AU"/>
        </w:rPr>
        <mc:AlternateContent>
          <mc:Choice Requires="wps">
            <w:drawing>
              <wp:anchor distT="0" distB="0" distL="0" distR="0" simplePos="0" relativeHeight="251671552" behindDoc="1" locked="0" layoutInCell="1" allowOverlap="1" wp14:anchorId="7C012D31" wp14:editId="759040CB">
                <wp:simplePos x="0" y="0"/>
                <wp:positionH relativeFrom="column">
                  <wp:posOffset>2895600</wp:posOffset>
                </wp:positionH>
                <wp:positionV relativeFrom="paragraph">
                  <wp:posOffset>1391920</wp:posOffset>
                </wp:positionV>
                <wp:extent cx="2729865" cy="508000"/>
                <wp:effectExtent l="0" t="0" r="13335" b="254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508000"/>
                        </a:xfrm>
                        <a:prstGeom prst="rect">
                          <a:avLst/>
                        </a:prstGeom>
                        <a:noFill/>
                        <a:ln w="6350">
                          <a:solidFill>
                            <a:srgbClr val="C0C2C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3C7CA0" w14:textId="0B20F9F4" w:rsidR="007A4FAD" w:rsidRPr="00553359" w:rsidRDefault="007A4FAD" w:rsidP="007A4FAD">
                            <w:pPr>
                              <w:spacing w:before="145"/>
                              <w:ind w:left="330"/>
                              <w:rPr>
                                <w:b/>
                                <w:color w:val="231F20"/>
                                <w:sz w:val="20"/>
                                <w:lang w:val="en-US"/>
                              </w:rPr>
                            </w:pPr>
                            <w:r w:rsidRPr="00553359">
                              <w:rPr>
                                <w:color w:val="231F20"/>
                                <w:sz w:val="20"/>
                                <w:lang w:val="en-US"/>
                              </w:rPr>
                              <w:t xml:space="preserve">Further information can be found in </w:t>
                            </w:r>
                            <w:r w:rsidR="002712E8">
                              <w:rPr>
                                <w:color w:val="231F20"/>
                                <w:sz w:val="20"/>
                                <w:lang w:val="en-US"/>
                              </w:rPr>
                              <w:br/>
                            </w:r>
                            <w:r>
                              <w:rPr>
                                <w:b/>
                                <w:color w:val="231F20"/>
                                <w:sz w:val="20"/>
                                <w:lang w:val="en-US"/>
                              </w:rPr>
                              <w:t>Chapter</w:t>
                            </w:r>
                            <w:r w:rsidR="002712E8">
                              <w:rPr>
                                <w:b/>
                                <w:color w:val="231F20"/>
                                <w:sz w:val="20"/>
                                <w:lang w:val="en-US"/>
                              </w:rPr>
                              <w:t>s 6 and</w:t>
                            </w:r>
                            <w:r>
                              <w:rPr>
                                <w:b/>
                                <w:color w:val="231F20"/>
                                <w:sz w:val="20"/>
                                <w:lang w:val="en-US"/>
                              </w:rPr>
                              <w:t xml:space="preserve"> 9</w:t>
                            </w:r>
                            <w:r w:rsidRPr="00553359">
                              <w:rPr>
                                <w:b/>
                                <w:color w:val="231F20"/>
                                <w:sz w:val="20"/>
                                <w:lang w:val="en-US"/>
                              </w:rPr>
                              <w:t xml:space="preserve"> </w:t>
                            </w:r>
                            <w:r w:rsidRPr="00553359">
                              <w:rPr>
                                <w:color w:val="231F20"/>
                                <w:sz w:val="20"/>
                                <w:lang w:val="en-US"/>
                              </w:rPr>
                              <w:t xml:space="preserve">of </w:t>
                            </w:r>
                            <w:r w:rsidRPr="00553359">
                              <w:rPr>
                                <w:b/>
                                <w:color w:val="231F20"/>
                                <w:sz w:val="20"/>
                                <w:lang w:val="en-US"/>
                              </w:rPr>
                              <w:t>Handling Misconduct.</w:t>
                            </w:r>
                          </w:p>
                          <w:p w14:paraId="7B85AE5C" w14:textId="77777777" w:rsidR="007A4FAD" w:rsidRDefault="007A4FAD" w:rsidP="007A4FAD">
                            <w:pPr>
                              <w:spacing w:before="145"/>
                              <w:ind w:left="33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12D31" id="_x0000_t202" coordsize="21600,21600" o:spt="202" path="m,l,21600r21600,l21600,xe">
                <v:stroke joinstyle="miter"/>
                <v:path gradientshapeok="t" o:connecttype="rect"/>
              </v:shapetype>
              <v:shape id="Text Box 2" o:spid="_x0000_s1026" type="#_x0000_t202" style="position:absolute;margin-left:228pt;margin-top:109.6pt;width:214.95pt;height:40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" filled="f" strokecolor="#c0c2c4" strokeweight=".5pt">
                <v:textbox inset="0,0,0,0">
                  <w:txbxContent>
                    <w:p w14:paraId="103C7CA0" w14:textId="0B20F9F4" w:rsidR="007A4FAD" w:rsidRPr="00553359" w:rsidRDefault="007A4FAD" w:rsidP="007A4FAD">
                      <w:pPr>
                        <w:spacing w:before="145"/>
                        <w:ind w:left="330"/>
                        <w:rPr>
                          <w:b/>
                          <w:color w:val="231F20"/>
                          <w:sz w:val="20"/>
                          <w:lang w:val="en-US"/>
                        </w:rPr>
                      </w:pPr>
                      <w:r w:rsidRPr="00553359">
                        <w:rPr>
                          <w:color w:val="231F20"/>
                          <w:sz w:val="20"/>
                          <w:lang w:val="en-US"/>
                        </w:rPr>
                        <w:t xml:space="preserve">Further information can be found in </w:t>
                      </w:r>
                      <w:r w:rsidR="002712E8">
                        <w:rPr>
                          <w:color w:val="231F20"/>
                          <w:sz w:val="20"/>
                          <w:lang w:val="en-US"/>
                        </w:rPr>
                        <w:br/>
                      </w:r>
                      <w:r>
                        <w:rPr>
                          <w:b/>
                          <w:color w:val="231F20"/>
                          <w:sz w:val="20"/>
                          <w:lang w:val="en-US"/>
                        </w:rPr>
                        <w:t>Chapter</w:t>
                      </w:r>
                      <w:r w:rsidR="002712E8">
                        <w:rPr>
                          <w:b/>
                          <w:color w:val="231F20"/>
                          <w:sz w:val="20"/>
                          <w:lang w:val="en-US"/>
                        </w:rPr>
                        <w:t>s 6 and</w:t>
                      </w:r>
                      <w:r>
                        <w:rPr>
                          <w:b/>
                          <w:color w:val="231F20"/>
                          <w:sz w:val="20"/>
                          <w:lang w:val="en-US"/>
                        </w:rPr>
                        <w:t xml:space="preserve"> 9</w:t>
                      </w:r>
                      <w:r w:rsidRPr="00553359">
                        <w:rPr>
                          <w:b/>
                          <w:color w:val="231F20"/>
                          <w:sz w:val="20"/>
                          <w:lang w:val="en-US"/>
                        </w:rPr>
                        <w:t xml:space="preserve"> </w:t>
                      </w:r>
                      <w:r w:rsidRPr="00553359">
                        <w:rPr>
                          <w:color w:val="231F20"/>
                          <w:sz w:val="20"/>
                          <w:lang w:val="en-US"/>
                        </w:rPr>
                        <w:t xml:space="preserve">of </w:t>
                      </w:r>
                      <w:r w:rsidRPr="00553359">
                        <w:rPr>
                          <w:b/>
                          <w:color w:val="231F20"/>
                          <w:sz w:val="20"/>
                          <w:lang w:val="en-US"/>
                        </w:rPr>
                        <w:t>Handling Misconduct.</w:t>
                      </w:r>
                    </w:p>
                    <w:p w14:paraId="7B85AE5C" w14:textId="77777777" w:rsidR="007A4FAD" w:rsidRDefault="007A4FAD" w:rsidP="007A4FAD">
                      <w:pPr>
                        <w:spacing w:before="145"/>
                        <w:ind w:left="330"/>
                        <w:rPr>
                          <w:b/>
                          <w:sz w:val="20"/>
                        </w:rPr>
                      </w:pPr>
                    </w:p>
                  </w:txbxContent>
                </v:textbox>
                <w10:wrap type="topAndBottom"/>
              </v:shape>
            </w:pict>
          </mc:Fallback>
        </mc:AlternateContent>
      </w:r>
      <w:r w:rsidR="00BE5054" w:rsidRPr="00BE5054">
        <w:t>Under s.</w:t>
      </w:r>
      <w:r w:rsidR="009303DB">
        <w:t>6</w:t>
      </w:r>
      <w:r w:rsidR="005672B2">
        <w:t>3</w:t>
      </w:r>
      <w:r w:rsidR="00BE5054" w:rsidRPr="00BE5054">
        <w:t xml:space="preserve"> of the Commissioner’s Directions, a written record must be made of the sanction decision, and, if the employee was provided with a statement of reasons, the record must include that statement. Agency s.15(3) procedures may prescribe the form of such a written record.</w:t>
      </w:r>
    </w:p>
    <w:p w14:paraId="1A25797C" w14:textId="07709504" w:rsidR="00BE5054" w:rsidRDefault="00BE5054" w:rsidP="00902CDB">
      <w:pPr>
        <w:pStyle w:val="BodyText"/>
      </w:pPr>
      <w:r w:rsidRPr="00BE5054">
        <w:t>The employee should be promptly notified in writing of the sanction decision and of their review rights.</w:t>
      </w:r>
    </w:p>
    <w:p w14:paraId="5C6EC555" w14:textId="613EC468" w:rsidR="00C83C5F" w:rsidRDefault="00BE5054" w:rsidP="00831396">
      <w:pPr>
        <w:pStyle w:val="Heading2"/>
        <w:spacing w:before="240" w:after="120"/>
      </w:pPr>
      <w:r>
        <w:t xml:space="preserve">Procedural fairness in the sanction </w:t>
      </w:r>
      <w:r w:rsidR="00831396">
        <w:t>decision</w:t>
      </w:r>
    </w:p>
    <w:p w14:paraId="30ECDF6E" w14:textId="4DC7EE71" w:rsidR="00BE5054" w:rsidRDefault="00BE5054" w:rsidP="00BE5054">
      <w:pPr>
        <w:pStyle w:val="BodyText"/>
      </w:pPr>
      <w:r>
        <w:t>Provisions in the PS Act and the Commissioner’s Directions emphasise the need to ensure procedural fairness in relation to any decision to impose a sanction on an employee.</w:t>
      </w:r>
    </w:p>
    <w:p w14:paraId="7CD5A2F8" w14:textId="08E164D9" w:rsidR="00BE5054" w:rsidRDefault="00BE5054" w:rsidP="00BE5054">
      <w:pPr>
        <w:pStyle w:val="BodyText"/>
      </w:pPr>
      <w:r>
        <w:t>Sanctions may only be imposed consistent with the agency’s s.15(3) procedures. In line with s.</w:t>
      </w:r>
      <w:r w:rsidR="005672B2">
        <w:t>60</w:t>
      </w:r>
      <w:bookmarkStart w:id="0" w:name="_GoBack"/>
      <w:bookmarkEnd w:id="0"/>
      <w:r>
        <w:t xml:space="preserve"> of the Commissioner’s Directions, agency s.15(3) procedures must include a requirement to the effect that a sanction may not be imposed unless reasonable steps have been taken to:</w:t>
      </w:r>
    </w:p>
    <w:p w14:paraId="77F345F7" w14:textId="3907D726" w:rsidR="00BE5054" w:rsidRDefault="00BE5054" w:rsidP="00831396">
      <w:pPr>
        <w:pStyle w:val="BodyText"/>
        <w:numPr>
          <w:ilvl w:val="0"/>
          <w:numId w:val="15"/>
        </w:numPr>
        <w:spacing w:after="120"/>
        <w:ind w:hanging="357"/>
      </w:pPr>
      <w:r>
        <w:t>inform the employee of:</w:t>
      </w:r>
    </w:p>
    <w:p w14:paraId="4AD00B1E" w14:textId="09F6B76E" w:rsidR="00BE5054" w:rsidRDefault="00BE5054" w:rsidP="00831396">
      <w:pPr>
        <w:pStyle w:val="BodyText"/>
        <w:numPr>
          <w:ilvl w:val="0"/>
          <w:numId w:val="16"/>
        </w:numPr>
        <w:spacing w:after="120"/>
        <w:ind w:left="1083" w:hanging="357"/>
      </w:pPr>
      <w:r>
        <w:t>the determination, and</w:t>
      </w:r>
    </w:p>
    <w:p w14:paraId="2A475770" w14:textId="5E837A68" w:rsidR="00BE5054" w:rsidRDefault="00BE5054" w:rsidP="00831396">
      <w:pPr>
        <w:pStyle w:val="BodyText"/>
        <w:numPr>
          <w:ilvl w:val="0"/>
          <w:numId w:val="16"/>
        </w:numPr>
        <w:spacing w:after="120"/>
        <w:ind w:left="1083" w:hanging="357"/>
      </w:pPr>
      <w:r>
        <w:t>the sanction or sanctions that are under consideration, and</w:t>
      </w:r>
    </w:p>
    <w:p w14:paraId="0DF23FDA" w14:textId="2C853902" w:rsidR="00BE5054" w:rsidRDefault="00BE5054" w:rsidP="00831396">
      <w:pPr>
        <w:pStyle w:val="BodyText"/>
        <w:numPr>
          <w:ilvl w:val="0"/>
          <w:numId w:val="16"/>
        </w:numPr>
        <w:spacing w:after="120"/>
        <w:ind w:left="1083" w:hanging="357"/>
      </w:pPr>
      <w:r>
        <w:t>the factors that are under consideration in determining any sanction to be imposed, and</w:t>
      </w:r>
    </w:p>
    <w:p w14:paraId="4EEE3308" w14:textId="0111B386" w:rsidR="00BE5054" w:rsidRDefault="00BE5054" w:rsidP="00D95AD7">
      <w:pPr>
        <w:pStyle w:val="BodyText"/>
        <w:numPr>
          <w:ilvl w:val="0"/>
          <w:numId w:val="15"/>
        </w:numPr>
        <w:ind w:hanging="357"/>
      </w:pPr>
      <w:r>
        <w:t>give the employee a reasonable opportunity to make a statement in relation to sanction(s) under consideration.</w:t>
      </w:r>
    </w:p>
    <w:p w14:paraId="09ED37DF" w14:textId="1AF4CC3F" w:rsidR="0074404B" w:rsidRDefault="002712E8" w:rsidP="0074404B">
      <w:pPr>
        <w:pStyle w:val="BodyText"/>
      </w:pPr>
      <w:r>
        <w:t>The sanction decision-maker must consider the employee’s comments before finalising the sanction decision. This deliberative process should include an impartial consideration of the employee’s comments concerning both the sanction(s) that might be applied, and any information or personal factors that m</w:t>
      </w:r>
      <w:r w:rsidR="0074404B">
        <w:t>ay be relevant to that decision.</w:t>
      </w:r>
    </w:p>
    <w:p w14:paraId="088C120E" w14:textId="1E1C5514" w:rsidR="0074404B" w:rsidRPr="0074404B" w:rsidRDefault="0074404B"/>
    <w:sectPr w:rsidR="0074404B" w:rsidRPr="0074404B" w:rsidSect="0074404B">
      <w:endnotePr>
        <w:numFmt w:val="decimal"/>
      </w:endnotePr>
      <w:type w:val="continuous"/>
      <w:pgSz w:w="11900" w:h="16840"/>
      <w:pgMar w:top="1701" w:right="1418" w:bottom="1418" w:left="1361" w:header="720" w:footer="720" w:gutter="369"/>
      <w:pgNumType w:start="1"/>
      <w:cols w:num="2" w:space="36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13B2B" w14:textId="77777777" w:rsidR="00E76940" w:rsidRDefault="00E76940" w:rsidP="00084D3A">
      <w:r>
        <w:separator/>
      </w:r>
    </w:p>
  </w:endnote>
  <w:endnote w:type="continuationSeparator" w:id="0">
    <w:p w14:paraId="52107D67" w14:textId="77777777" w:rsidR="00E76940" w:rsidRDefault="00E76940" w:rsidP="000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imes New Roman"/>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899273"/>
      <w:docPartObj>
        <w:docPartGallery w:val="Page Numbers (Bottom of Page)"/>
        <w:docPartUnique/>
      </w:docPartObj>
    </w:sdtPr>
    <w:sdtEndPr>
      <w:rPr>
        <w:rStyle w:val="PageNumber"/>
      </w:rPr>
    </w:sdtEndPr>
    <w:sdtContent>
      <w:p w14:paraId="122EF6B9" w14:textId="764A0282" w:rsidR="0064000B" w:rsidRDefault="0064000B" w:rsidP="001A28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99391" w14:textId="77777777" w:rsidR="0064000B" w:rsidRDefault="0064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7410196"/>
      <w:docPartObj>
        <w:docPartGallery w:val="Page Numbers (Bottom of Page)"/>
        <w:docPartUnique/>
      </w:docPartObj>
    </w:sdtPr>
    <w:sdtEndPr>
      <w:rPr>
        <w:rStyle w:val="PageNumber"/>
      </w:rPr>
    </w:sdtEndPr>
    <w:sdtContent>
      <w:p w14:paraId="7A6C0872" w14:textId="0A18AD26" w:rsidR="0064000B" w:rsidRDefault="0064000B" w:rsidP="002F5E22">
        <w:pPr>
          <w:pStyle w:val="Footer"/>
          <w:framePr w:wrap="none" w:vAnchor="text" w:hAnchor="page" w:x="6108" w:y="337"/>
          <w:rPr>
            <w:rStyle w:val="PageNumber"/>
          </w:rPr>
        </w:pPr>
        <w:r w:rsidRPr="0064000B">
          <w:rPr>
            <w:rStyle w:val="PageNumber"/>
            <w:rFonts w:ascii="Calibri Light" w:hAnsi="Calibri Light" w:cs="Calibri Light"/>
            <w:sz w:val="20"/>
            <w:szCs w:val="20"/>
          </w:rPr>
          <w:fldChar w:fldCharType="begin"/>
        </w:r>
        <w:r w:rsidRPr="0064000B">
          <w:rPr>
            <w:rStyle w:val="PageNumber"/>
            <w:rFonts w:ascii="Calibri Light" w:hAnsi="Calibri Light" w:cs="Calibri Light"/>
            <w:sz w:val="20"/>
            <w:szCs w:val="20"/>
          </w:rPr>
          <w:instrText xml:space="preserve"> PAGE </w:instrText>
        </w:r>
        <w:r w:rsidRPr="0064000B">
          <w:rPr>
            <w:rStyle w:val="PageNumber"/>
            <w:rFonts w:ascii="Calibri Light" w:hAnsi="Calibri Light" w:cs="Calibri Light"/>
            <w:sz w:val="20"/>
            <w:szCs w:val="20"/>
          </w:rPr>
          <w:fldChar w:fldCharType="separate"/>
        </w:r>
        <w:r w:rsidR="005672B2">
          <w:rPr>
            <w:rStyle w:val="PageNumber"/>
            <w:rFonts w:ascii="Calibri Light" w:hAnsi="Calibri Light" w:cs="Calibri Light"/>
            <w:noProof/>
            <w:sz w:val="20"/>
            <w:szCs w:val="20"/>
          </w:rPr>
          <w:t>2</w:t>
        </w:r>
        <w:r w:rsidRPr="0064000B">
          <w:rPr>
            <w:rStyle w:val="PageNumber"/>
            <w:rFonts w:ascii="Calibri Light" w:hAnsi="Calibri Light" w:cs="Calibri Light"/>
            <w:sz w:val="20"/>
            <w:szCs w:val="20"/>
          </w:rPr>
          <w:fldChar w:fldCharType="end"/>
        </w:r>
      </w:p>
    </w:sdtContent>
  </w:sdt>
  <w:p w14:paraId="510CFDA8" w14:textId="77777777" w:rsidR="0064000B" w:rsidRDefault="0064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Light" w:hAnsi="Calibri Light" w:cs="Calibri Light"/>
        <w:sz w:val="20"/>
        <w:szCs w:val="20"/>
      </w:rPr>
      <w:id w:val="452835345"/>
      <w:docPartObj>
        <w:docPartGallery w:val="Page Numbers (Bottom of Page)"/>
        <w:docPartUnique/>
      </w:docPartObj>
    </w:sdtPr>
    <w:sdtEndPr>
      <w:rPr>
        <w:rStyle w:val="PageNumber"/>
      </w:rPr>
    </w:sdtEndPr>
    <w:sdtContent>
      <w:p w14:paraId="3E4EC291" w14:textId="625D0F57" w:rsidR="00C30985" w:rsidRPr="00C30985" w:rsidRDefault="00C30985" w:rsidP="005E09FE">
        <w:pPr>
          <w:pStyle w:val="Footer"/>
          <w:framePr w:wrap="none" w:vAnchor="text" w:hAnchor="margin" w:xAlign="center" w:y="386"/>
          <w:rPr>
            <w:rStyle w:val="PageNumber"/>
            <w:rFonts w:ascii="Calibri Light" w:hAnsi="Calibri Light" w:cs="Calibri Light"/>
            <w:sz w:val="20"/>
            <w:szCs w:val="20"/>
          </w:rPr>
        </w:pPr>
        <w:r w:rsidRPr="00C30985">
          <w:rPr>
            <w:rStyle w:val="PageNumber"/>
            <w:rFonts w:ascii="Calibri Light" w:hAnsi="Calibri Light" w:cs="Calibri Light"/>
            <w:sz w:val="20"/>
            <w:szCs w:val="20"/>
          </w:rPr>
          <w:fldChar w:fldCharType="begin"/>
        </w:r>
        <w:r w:rsidRPr="00C30985">
          <w:rPr>
            <w:rStyle w:val="PageNumber"/>
            <w:rFonts w:ascii="Calibri Light" w:hAnsi="Calibri Light" w:cs="Calibri Light"/>
            <w:sz w:val="20"/>
            <w:szCs w:val="20"/>
          </w:rPr>
          <w:instrText xml:space="preserve"> PAGE </w:instrText>
        </w:r>
        <w:r w:rsidRPr="00C30985">
          <w:rPr>
            <w:rStyle w:val="PageNumber"/>
            <w:rFonts w:ascii="Calibri Light" w:hAnsi="Calibri Light" w:cs="Calibri Light"/>
            <w:sz w:val="20"/>
            <w:szCs w:val="20"/>
          </w:rPr>
          <w:fldChar w:fldCharType="separate"/>
        </w:r>
        <w:r w:rsidR="005672B2">
          <w:rPr>
            <w:rStyle w:val="PageNumber"/>
            <w:rFonts w:ascii="Calibri Light" w:hAnsi="Calibri Light" w:cs="Calibri Light"/>
            <w:noProof/>
            <w:sz w:val="20"/>
            <w:szCs w:val="20"/>
          </w:rPr>
          <w:t>1</w:t>
        </w:r>
        <w:r w:rsidRPr="00C30985">
          <w:rPr>
            <w:rStyle w:val="PageNumber"/>
            <w:rFonts w:ascii="Calibri Light" w:hAnsi="Calibri Light" w:cs="Calibri Light"/>
            <w:sz w:val="20"/>
            <w:szCs w:val="20"/>
          </w:rPr>
          <w:fldChar w:fldCharType="end"/>
        </w:r>
      </w:p>
    </w:sdtContent>
  </w:sdt>
  <w:p w14:paraId="463F90B6" w14:textId="77777777" w:rsidR="00C30985" w:rsidRDefault="00C3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3FDD1" w14:textId="77777777" w:rsidR="00E76940" w:rsidRDefault="00E76940" w:rsidP="00084D3A">
      <w:r>
        <w:separator/>
      </w:r>
    </w:p>
  </w:footnote>
  <w:footnote w:type="continuationSeparator" w:id="0">
    <w:p w14:paraId="2CE6CBC9" w14:textId="77777777" w:rsidR="00E76940" w:rsidRDefault="00E76940" w:rsidP="0008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09ABF" w14:textId="3E89ACD5" w:rsidR="00C30985" w:rsidRDefault="00C30985">
    <w:pPr>
      <w:pStyle w:val="Header"/>
    </w:pPr>
    <w:r>
      <w:rPr>
        <w:noProof/>
        <w:lang w:eastAsia="en-AU"/>
      </w:rPr>
      <w:drawing>
        <wp:anchor distT="0" distB="0" distL="114300" distR="114300" simplePos="0" relativeHeight="251663360" behindDoc="1" locked="0" layoutInCell="1" allowOverlap="1" wp14:anchorId="4A4FA615" wp14:editId="219C8F3A">
          <wp:simplePos x="0" y="0"/>
          <wp:positionH relativeFrom="column">
            <wp:posOffset>4680728</wp:posOffset>
          </wp:positionH>
          <wp:positionV relativeFrom="paragraph">
            <wp:posOffset>-441325</wp:posOffset>
          </wp:positionV>
          <wp:extent cx="1753200" cy="1296000"/>
          <wp:effectExtent l="0" t="0" r="0" b="0"/>
          <wp:wrapNone/>
          <wp:docPr id="3" name="Pictur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BB0D" w14:textId="38E02832" w:rsidR="005241B2" w:rsidRDefault="000B48CB" w:rsidP="00DA00A7">
    <w:pPr>
      <w:pStyle w:val="Header"/>
      <w:tabs>
        <w:tab w:val="clear" w:pos="4513"/>
        <w:tab w:val="clear" w:pos="9026"/>
        <w:tab w:val="left" w:pos="3160"/>
      </w:tabs>
    </w:pPr>
    <w:r>
      <w:rPr>
        <w:noProof/>
        <w:lang w:eastAsia="en-AU"/>
      </w:rPr>
      <w:drawing>
        <wp:anchor distT="0" distB="0" distL="114300" distR="114300" simplePos="0" relativeHeight="251665408" behindDoc="1" locked="0" layoutInCell="1" allowOverlap="1" wp14:anchorId="05D77382" wp14:editId="0D7EBE1D">
          <wp:simplePos x="0" y="0"/>
          <wp:positionH relativeFrom="column">
            <wp:posOffset>-732790</wp:posOffset>
          </wp:positionH>
          <wp:positionV relativeFrom="paragraph">
            <wp:posOffset>-39103</wp:posOffset>
          </wp:positionV>
          <wp:extent cx="2857500" cy="533400"/>
          <wp:effectExtent l="0" t="0" r="0" b="0"/>
          <wp:wrapNone/>
          <wp:docPr id="4" name="Picture 4" descr="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ustralian Public Service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2857500"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6C7E5143" wp14:editId="51B5B6BD">
          <wp:simplePos x="0" y="0"/>
          <wp:positionH relativeFrom="column">
            <wp:posOffset>4741136</wp:posOffset>
          </wp:positionH>
          <wp:positionV relativeFrom="paragraph">
            <wp:posOffset>-443230</wp:posOffset>
          </wp:positionV>
          <wp:extent cx="1753200" cy="1296000"/>
          <wp:effectExtent l="0" t="0" r="0" b="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r w:rsidR="00DA00A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A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CD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60D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A6B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ED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26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A2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966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40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05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5D013A"/>
    <w:multiLevelType w:val="hybridMultilevel"/>
    <w:tmpl w:val="6A7A5F82"/>
    <w:lvl w:ilvl="0" w:tplc="D414A15E">
      <w:start w:val="1"/>
      <w:numFmt w:val="bullet"/>
      <w:lvlText w:val=""/>
      <w:lvlJc w:val="left"/>
      <w:pPr>
        <w:ind w:left="72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714ECB"/>
    <w:multiLevelType w:val="hybridMultilevel"/>
    <w:tmpl w:val="071AD03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E95542B"/>
    <w:multiLevelType w:val="hybridMultilevel"/>
    <w:tmpl w:val="EBAA6CD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90592F"/>
    <w:multiLevelType w:val="hybridMultilevel"/>
    <w:tmpl w:val="E1E22720"/>
    <w:lvl w:ilvl="0" w:tplc="243EDFA8">
      <w:start w:val="1"/>
      <w:numFmt w:val="bullet"/>
      <w:pStyle w:val="bullets"/>
      <w:lvlText w:val=""/>
      <w:lvlJc w:val="left"/>
      <w:pPr>
        <w:ind w:left="284" w:hanging="284"/>
      </w:pPr>
      <w:rPr>
        <w:rFonts w:ascii="Symbol" w:hAnsi="Symbol" w:hint="default"/>
        <w:color w:val="3397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71F7A"/>
    <w:multiLevelType w:val="hybridMultilevel"/>
    <w:tmpl w:val="9C027FA8"/>
    <w:lvl w:ilvl="0" w:tplc="D414A15E">
      <w:start w:val="1"/>
      <w:numFmt w:val="bullet"/>
      <w:lvlText w:val=""/>
      <w:lvlJc w:val="left"/>
      <w:pPr>
        <w:ind w:left="36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3"/>
    <w:lvlOverride w:ilvl="0">
      <w:startOverride w:val="1"/>
    </w:lvlOverride>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1"/>
    <w:rsid w:val="00025651"/>
    <w:rsid w:val="0003626E"/>
    <w:rsid w:val="000705EE"/>
    <w:rsid w:val="000806D3"/>
    <w:rsid w:val="00084D3A"/>
    <w:rsid w:val="000A3AF8"/>
    <w:rsid w:val="000B48CB"/>
    <w:rsid w:val="000C1BEB"/>
    <w:rsid w:val="00107325"/>
    <w:rsid w:val="001376B7"/>
    <w:rsid w:val="00165BD4"/>
    <w:rsid w:val="00230E95"/>
    <w:rsid w:val="00256C23"/>
    <w:rsid w:val="002712E8"/>
    <w:rsid w:val="00297CBF"/>
    <w:rsid w:val="002F5E22"/>
    <w:rsid w:val="002F66F7"/>
    <w:rsid w:val="003847D6"/>
    <w:rsid w:val="003A06FE"/>
    <w:rsid w:val="00402406"/>
    <w:rsid w:val="00440868"/>
    <w:rsid w:val="004B536B"/>
    <w:rsid w:val="004C0F59"/>
    <w:rsid w:val="00515524"/>
    <w:rsid w:val="005241B2"/>
    <w:rsid w:val="005672B2"/>
    <w:rsid w:val="00577DE8"/>
    <w:rsid w:val="00581B00"/>
    <w:rsid w:val="005A4004"/>
    <w:rsid w:val="005D2DBC"/>
    <w:rsid w:val="005D6A49"/>
    <w:rsid w:val="005E09FE"/>
    <w:rsid w:val="00605FA3"/>
    <w:rsid w:val="0064000B"/>
    <w:rsid w:val="0067722C"/>
    <w:rsid w:val="006E039C"/>
    <w:rsid w:val="006F1388"/>
    <w:rsid w:val="00725D3D"/>
    <w:rsid w:val="007278DC"/>
    <w:rsid w:val="0074404B"/>
    <w:rsid w:val="00745F99"/>
    <w:rsid w:val="007A06C0"/>
    <w:rsid w:val="007A2202"/>
    <w:rsid w:val="007A4FAD"/>
    <w:rsid w:val="007F33E1"/>
    <w:rsid w:val="00813471"/>
    <w:rsid w:val="00820DCE"/>
    <w:rsid w:val="008244A3"/>
    <w:rsid w:val="00831396"/>
    <w:rsid w:val="0084122C"/>
    <w:rsid w:val="008A6E39"/>
    <w:rsid w:val="008D0C13"/>
    <w:rsid w:val="00902CDB"/>
    <w:rsid w:val="009303DB"/>
    <w:rsid w:val="0098419C"/>
    <w:rsid w:val="009928B0"/>
    <w:rsid w:val="009B1E1A"/>
    <w:rsid w:val="009E2DC0"/>
    <w:rsid w:val="00A93661"/>
    <w:rsid w:val="00A96AB9"/>
    <w:rsid w:val="00AD7BA4"/>
    <w:rsid w:val="00AF7288"/>
    <w:rsid w:val="00BE5054"/>
    <w:rsid w:val="00BF5CFA"/>
    <w:rsid w:val="00C30985"/>
    <w:rsid w:val="00C83C5F"/>
    <w:rsid w:val="00C85F99"/>
    <w:rsid w:val="00D6641B"/>
    <w:rsid w:val="00D74549"/>
    <w:rsid w:val="00D95AD7"/>
    <w:rsid w:val="00DA00A7"/>
    <w:rsid w:val="00DC471A"/>
    <w:rsid w:val="00DD5792"/>
    <w:rsid w:val="00DF4A85"/>
    <w:rsid w:val="00E1480A"/>
    <w:rsid w:val="00E67761"/>
    <w:rsid w:val="00E76940"/>
    <w:rsid w:val="00EE5554"/>
    <w:rsid w:val="00EF6413"/>
    <w:rsid w:val="00F02718"/>
    <w:rsid w:val="00F10D44"/>
    <w:rsid w:val="00F64FD7"/>
    <w:rsid w:val="00F72CB7"/>
    <w:rsid w:val="00F758E4"/>
    <w:rsid w:val="00F936B1"/>
    <w:rsid w:val="00FA6E6A"/>
    <w:rsid w:val="00FE2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0926"/>
  <w15:chartTrackingRefBased/>
  <w15:docId w15:val="{AEF3EEB3-1102-EB41-B45C-978B36B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7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581B00"/>
    <w:pPr>
      <w:suppressAutoHyphens/>
      <w:autoSpaceDE w:val="0"/>
      <w:autoSpaceDN w:val="0"/>
      <w:adjustRightInd w:val="0"/>
      <w:spacing w:before="300" w:after="60" w:line="340" w:lineRule="atLeast"/>
      <w:textAlignment w:val="center"/>
      <w:outlineLvl w:val="1"/>
    </w:pPr>
    <w:rPr>
      <w:rFonts w:ascii="Calibri" w:hAnsi="Calibri" w:cs="Calibri"/>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1B00"/>
    <w:rPr>
      <w:rFonts w:ascii="Calibri" w:hAnsi="Calibri" w:cs="Calibri"/>
      <w:b/>
      <w:bCs/>
      <w:color w:val="000000"/>
      <w:sz w:val="28"/>
      <w:szCs w:val="28"/>
      <w:lang w:val="en-US"/>
    </w:rPr>
  </w:style>
  <w:style w:type="paragraph" w:styleId="BodyText">
    <w:name w:val="Body Text"/>
    <w:link w:val="BodyTextChar"/>
    <w:uiPriority w:val="99"/>
    <w:rsid w:val="009B1E1A"/>
    <w:pPr>
      <w:suppressAutoHyphens/>
      <w:autoSpaceDE w:val="0"/>
      <w:autoSpaceDN w:val="0"/>
      <w:adjustRightInd w:val="0"/>
      <w:spacing w:after="180" w:line="300" w:lineRule="atLeast"/>
      <w:textAlignment w:val="center"/>
    </w:pPr>
    <w:rPr>
      <w:rFonts w:ascii="Calibri Light" w:hAnsi="Calibri Light" w:cs="Calibri Light"/>
      <w:color w:val="000000"/>
      <w:lang w:val="en-US"/>
    </w:rPr>
  </w:style>
  <w:style w:type="character" w:customStyle="1" w:styleId="BodyTextChar">
    <w:name w:val="Body Text Char"/>
    <w:basedOn w:val="DefaultParagraphFont"/>
    <w:link w:val="BodyText"/>
    <w:uiPriority w:val="99"/>
    <w:rsid w:val="009B1E1A"/>
    <w:rPr>
      <w:rFonts w:ascii="Calibri Light" w:hAnsi="Calibri Light" w:cs="Calibri Light"/>
      <w:color w:val="000000"/>
      <w:lang w:val="en-US"/>
    </w:rPr>
  </w:style>
  <w:style w:type="paragraph" w:customStyle="1" w:styleId="bodytextlastline">
    <w:name w:val="body text last line"/>
    <w:basedOn w:val="BodyText"/>
    <w:uiPriority w:val="99"/>
    <w:rsid w:val="00E67761"/>
  </w:style>
  <w:style w:type="paragraph" w:customStyle="1" w:styleId="bullets">
    <w:name w:val="bullets"/>
    <w:uiPriority w:val="99"/>
    <w:rsid w:val="005A4004"/>
    <w:pPr>
      <w:numPr>
        <w:numId w:val="1"/>
      </w:numPr>
      <w:tabs>
        <w:tab w:val="left" w:pos="260"/>
      </w:tabs>
      <w:suppressAutoHyphens/>
      <w:autoSpaceDE w:val="0"/>
      <w:autoSpaceDN w:val="0"/>
      <w:adjustRightInd w:val="0"/>
      <w:spacing w:after="60" w:line="300" w:lineRule="atLeast"/>
      <w:textAlignment w:val="center"/>
    </w:pPr>
    <w:rPr>
      <w:rFonts w:ascii="Calibri Light" w:hAnsi="Calibri Light" w:cs="Calibri Light"/>
      <w:color w:val="000000"/>
      <w:lang w:val="en-US"/>
    </w:rPr>
  </w:style>
  <w:style w:type="character" w:customStyle="1" w:styleId="bold">
    <w:name w:val="bold"/>
    <w:uiPriority w:val="99"/>
    <w:rsid w:val="00E67761"/>
    <w:rPr>
      <w:b/>
      <w:bCs/>
    </w:rPr>
  </w:style>
  <w:style w:type="paragraph" w:customStyle="1" w:styleId="Quotebodytext">
    <w:name w:val="Quote body text"/>
    <w:basedOn w:val="BodyText"/>
    <w:qFormat/>
    <w:rsid w:val="002F66F7"/>
    <w:pPr>
      <w:pBdr>
        <w:bottom w:val="single" w:sz="4" w:space="11" w:color="007D84"/>
      </w:pBdr>
      <w:tabs>
        <w:tab w:val="left" w:pos="284"/>
      </w:tabs>
      <w:spacing w:after="340"/>
      <w:ind w:left="227" w:right="227"/>
    </w:pPr>
    <w:rPr>
      <w:rFonts w:ascii="Calibri" w:hAnsi="Calibri" w:cs="Calibri"/>
    </w:rPr>
  </w:style>
  <w:style w:type="paragraph" w:customStyle="1" w:styleId="Quoteheading">
    <w:name w:val="Quote heading"/>
    <w:next w:val="BodyText"/>
    <w:qFormat/>
    <w:rsid w:val="0064000B"/>
    <w:pPr>
      <w:pBdr>
        <w:top w:val="single" w:sz="4" w:space="7" w:color="007D84"/>
      </w:pBdr>
      <w:ind w:left="227" w:right="227"/>
    </w:pPr>
    <w:rPr>
      <w:rFonts w:ascii="Calibri" w:hAnsi="Calibri" w:cs="Calibri"/>
      <w:b/>
      <w:bCs/>
      <w:color w:val="000000"/>
      <w:sz w:val="28"/>
      <w:szCs w:val="28"/>
      <w:lang w:val="en-US"/>
    </w:rPr>
  </w:style>
  <w:style w:type="paragraph" w:customStyle="1" w:styleId="boldheading">
    <w:name w:val="bold heading"/>
    <w:basedOn w:val="Normal"/>
    <w:uiPriority w:val="99"/>
    <w:rsid w:val="009B1E1A"/>
    <w:pPr>
      <w:suppressAutoHyphens/>
      <w:autoSpaceDE w:val="0"/>
      <w:autoSpaceDN w:val="0"/>
      <w:adjustRightInd w:val="0"/>
      <w:spacing w:before="170" w:after="57" w:line="280" w:lineRule="atLeast"/>
      <w:textAlignment w:val="center"/>
    </w:pPr>
    <w:rPr>
      <w:rFonts w:ascii="Raleway" w:hAnsi="Raleway" w:cs="Raleway"/>
      <w:b/>
      <w:bCs/>
      <w:color w:val="000000"/>
      <w:lang w:val="en-US"/>
    </w:rPr>
  </w:style>
  <w:style w:type="paragraph" w:customStyle="1" w:styleId="Factsheet">
    <w:name w:val="Fact sheet"/>
    <w:basedOn w:val="boldheading"/>
    <w:qFormat/>
    <w:rsid w:val="00581B00"/>
    <w:pPr>
      <w:spacing w:before="0" w:after="0"/>
      <w:ind w:left="57"/>
    </w:pPr>
    <w:rPr>
      <w:rFonts w:ascii="Arial" w:hAnsi="Arial" w:cs="Arial"/>
      <w:color w:val="595959" w:themeColor="text1" w:themeTint="A6"/>
      <w:sz w:val="30"/>
      <w:szCs w:val="30"/>
    </w:rPr>
  </w:style>
  <w:style w:type="paragraph" w:customStyle="1" w:styleId="Heading1-title">
    <w:name w:val="Heading 1 - title"/>
    <w:basedOn w:val="Heading1"/>
    <w:next w:val="Heading1"/>
    <w:qFormat/>
    <w:rsid w:val="00AF7288"/>
    <w:pPr>
      <w:spacing w:before="0" w:after="240"/>
    </w:pPr>
    <w:rPr>
      <w:rFonts w:ascii="Calibri Light" w:hAnsi="Calibri Light" w:cs="Calibri Light"/>
      <w:color w:val="000000"/>
      <w:sz w:val="72"/>
      <w:szCs w:val="72"/>
      <w:lang w:val="en-US"/>
    </w:rPr>
  </w:style>
  <w:style w:type="paragraph" w:styleId="FootnoteText">
    <w:name w:val="footnote text"/>
    <w:basedOn w:val="Normal"/>
    <w:link w:val="FootnoteTextChar"/>
    <w:uiPriority w:val="99"/>
    <w:semiHidden/>
    <w:unhideWhenUsed/>
    <w:rsid w:val="00084D3A"/>
    <w:rPr>
      <w:sz w:val="20"/>
      <w:szCs w:val="20"/>
    </w:rPr>
  </w:style>
  <w:style w:type="character" w:customStyle="1" w:styleId="FootnoteTextChar">
    <w:name w:val="Footnote Text Char"/>
    <w:basedOn w:val="DefaultParagraphFont"/>
    <w:link w:val="FootnoteText"/>
    <w:uiPriority w:val="99"/>
    <w:semiHidden/>
    <w:rsid w:val="00084D3A"/>
    <w:rPr>
      <w:sz w:val="20"/>
      <w:szCs w:val="20"/>
    </w:rPr>
  </w:style>
  <w:style w:type="character" w:styleId="FootnoteReference">
    <w:name w:val="footnote reference"/>
    <w:basedOn w:val="DefaultParagraphFont"/>
    <w:uiPriority w:val="99"/>
    <w:semiHidden/>
    <w:unhideWhenUsed/>
    <w:rsid w:val="00084D3A"/>
    <w:rPr>
      <w:vertAlign w:val="superscript"/>
    </w:rPr>
  </w:style>
  <w:style w:type="character" w:styleId="Hyperlink">
    <w:name w:val="Hyperlink"/>
    <w:basedOn w:val="DefaultParagraphFont"/>
    <w:uiPriority w:val="99"/>
    <w:rsid w:val="008A6E39"/>
    <w:rPr>
      <w:color w:val="B292CA"/>
      <w:w w:val="100"/>
      <w:u w:val="thick" w:color="B292CA"/>
    </w:rPr>
  </w:style>
  <w:style w:type="paragraph" w:customStyle="1" w:styleId="footnote">
    <w:name w:val="footnote"/>
    <w:basedOn w:val="BodyText"/>
    <w:qFormat/>
    <w:rsid w:val="00902CDB"/>
    <w:pPr>
      <w:spacing w:after="60" w:line="200" w:lineRule="atLeast"/>
    </w:pPr>
    <w:rPr>
      <w:sz w:val="20"/>
      <w:szCs w:val="16"/>
    </w:rPr>
  </w:style>
  <w:style w:type="paragraph" w:customStyle="1" w:styleId="Hyperlink1">
    <w:name w:val="Hyperlink 1"/>
    <w:next w:val="Normal"/>
    <w:link w:val="Hyperlink1Char"/>
    <w:qFormat/>
    <w:rsid w:val="005D2DBC"/>
    <w:rPr>
      <w:rFonts w:ascii="Calibri Light" w:hAnsi="Calibri Light" w:cs="Calibri Light"/>
      <w:color w:val="000000"/>
      <w:sz w:val="16"/>
      <w:szCs w:val="16"/>
      <w:u w:val="single"/>
      <w:lang w:val="en-US"/>
    </w:rPr>
  </w:style>
  <w:style w:type="character" w:customStyle="1" w:styleId="Hyperlink1Char">
    <w:name w:val="Hyperlink 1 Char"/>
    <w:basedOn w:val="DefaultParagraphFont"/>
    <w:link w:val="Hyperlink1"/>
    <w:rsid w:val="005D2DBC"/>
    <w:rPr>
      <w:rFonts w:ascii="Calibri Light" w:hAnsi="Calibri Light" w:cs="Calibri Light"/>
      <w:color w:val="000000"/>
      <w:sz w:val="16"/>
      <w:szCs w:val="16"/>
      <w:u w:val="single"/>
      <w:lang w:val="en-US"/>
    </w:rPr>
  </w:style>
  <w:style w:type="paragraph" w:styleId="Footer">
    <w:name w:val="footer"/>
    <w:basedOn w:val="Normal"/>
    <w:link w:val="FooterChar"/>
    <w:uiPriority w:val="99"/>
    <w:unhideWhenUsed/>
    <w:rsid w:val="0064000B"/>
    <w:pPr>
      <w:tabs>
        <w:tab w:val="center" w:pos="4513"/>
        <w:tab w:val="right" w:pos="9026"/>
      </w:tabs>
    </w:pPr>
  </w:style>
  <w:style w:type="character" w:customStyle="1" w:styleId="FooterChar">
    <w:name w:val="Footer Char"/>
    <w:basedOn w:val="DefaultParagraphFont"/>
    <w:link w:val="Footer"/>
    <w:uiPriority w:val="99"/>
    <w:rsid w:val="0064000B"/>
  </w:style>
  <w:style w:type="character" w:styleId="PageNumber">
    <w:name w:val="page number"/>
    <w:basedOn w:val="DefaultParagraphFont"/>
    <w:uiPriority w:val="99"/>
    <w:semiHidden/>
    <w:unhideWhenUsed/>
    <w:rsid w:val="0064000B"/>
  </w:style>
  <w:style w:type="paragraph" w:styleId="Header">
    <w:name w:val="header"/>
    <w:basedOn w:val="Normal"/>
    <w:link w:val="HeaderChar"/>
    <w:uiPriority w:val="99"/>
    <w:unhideWhenUsed/>
    <w:rsid w:val="0064000B"/>
    <w:pPr>
      <w:tabs>
        <w:tab w:val="center" w:pos="4513"/>
        <w:tab w:val="right" w:pos="9026"/>
      </w:tabs>
    </w:pPr>
  </w:style>
  <w:style w:type="character" w:customStyle="1" w:styleId="HeaderChar">
    <w:name w:val="Header Char"/>
    <w:basedOn w:val="DefaultParagraphFont"/>
    <w:link w:val="Header"/>
    <w:uiPriority w:val="99"/>
    <w:rsid w:val="0064000B"/>
  </w:style>
  <w:style w:type="paragraph" w:styleId="Revision">
    <w:name w:val="Revision"/>
    <w:hidden/>
    <w:uiPriority w:val="99"/>
    <w:semiHidden/>
    <w:rsid w:val="00C30985"/>
  </w:style>
  <w:style w:type="paragraph" w:styleId="Caption">
    <w:name w:val="caption"/>
    <w:basedOn w:val="Normal"/>
    <w:next w:val="Normal"/>
    <w:uiPriority w:val="35"/>
    <w:unhideWhenUsed/>
    <w:qFormat/>
    <w:rsid w:val="003847D6"/>
    <w:pPr>
      <w:spacing w:before="120" w:after="200"/>
    </w:pPr>
    <w:rPr>
      <w:rFonts w:cs="Times New Roman (Body CS)"/>
      <w:iCs/>
      <w:color w:val="000000" w:themeColor="text1"/>
      <w:sz w:val="18"/>
      <w:szCs w:val="18"/>
    </w:rPr>
  </w:style>
  <w:style w:type="paragraph" w:customStyle="1" w:styleId="Heading31">
    <w:name w:val="Heading 31"/>
    <w:qFormat/>
    <w:rsid w:val="00BF5CFA"/>
    <w:pPr>
      <w:spacing w:before="240" w:after="60"/>
    </w:pPr>
    <w:rPr>
      <w:rFonts w:ascii="Calibri" w:hAnsi="Calibri" w:cs="Calibri Light"/>
      <w:b/>
      <w:bCs/>
      <w:color w:val="000000"/>
      <w:lang w:val="en-US"/>
    </w:rPr>
  </w:style>
  <w:style w:type="paragraph" w:styleId="EndnoteText">
    <w:name w:val="endnote text"/>
    <w:basedOn w:val="Normal"/>
    <w:link w:val="EndnoteTextChar"/>
    <w:uiPriority w:val="99"/>
    <w:semiHidden/>
    <w:unhideWhenUsed/>
    <w:rsid w:val="00402406"/>
    <w:rPr>
      <w:sz w:val="20"/>
      <w:szCs w:val="20"/>
    </w:rPr>
  </w:style>
  <w:style w:type="character" w:customStyle="1" w:styleId="Heading1Char">
    <w:name w:val="Heading 1 Char"/>
    <w:basedOn w:val="DefaultParagraphFont"/>
    <w:link w:val="Heading1"/>
    <w:uiPriority w:val="9"/>
    <w:rsid w:val="00DC471A"/>
    <w:rPr>
      <w:rFonts w:asciiTheme="majorHAnsi" w:eastAsiaTheme="majorEastAsia" w:hAnsiTheme="majorHAnsi" w:cstheme="majorBidi"/>
      <w:color w:val="2F5496" w:themeColor="accent1" w:themeShade="BF"/>
      <w:sz w:val="32"/>
      <w:szCs w:val="32"/>
    </w:rPr>
  </w:style>
  <w:style w:type="character" w:customStyle="1" w:styleId="EndnoteTextChar">
    <w:name w:val="Endnote Text Char"/>
    <w:basedOn w:val="DefaultParagraphFont"/>
    <w:link w:val="EndnoteText"/>
    <w:uiPriority w:val="99"/>
    <w:semiHidden/>
    <w:rsid w:val="00402406"/>
    <w:rPr>
      <w:sz w:val="20"/>
      <w:szCs w:val="20"/>
    </w:rPr>
  </w:style>
  <w:style w:type="character" w:styleId="EndnoteReference">
    <w:name w:val="endnote reference"/>
    <w:basedOn w:val="DefaultParagraphFont"/>
    <w:uiPriority w:val="99"/>
    <w:semiHidden/>
    <w:unhideWhenUsed/>
    <w:rsid w:val="00402406"/>
    <w:rPr>
      <w:vertAlign w:val="superscript"/>
    </w:rPr>
  </w:style>
  <w:style w:type="character" w:styleId="CommentReference">
    <w:name w:val="annotation reference"/>
    <w:basedOn w:val="DefaultParagraphFont"/>
    <w:uiPriority w:val="99"/>
    <w:semiHidden/>
    <w:unhideWhenUsed/>
    <w:rsid w:val="00DD5792"/>
    <w:rPr>
      <w:sz w:val="16"/>
      <w:szCs w:val="16"/>
    </w:rPr>
  </w:style>
  <w:style w:type="paragraph" w:styleId="CommentText">
    <w:name w:val="annotation text"/>
    <w:basedOn w:val="Normal"/>
    <w:link w:val="CommentTextChar"/>
    <w:uiPriority w:val="99"/>
    <w:semiHidden/>
    <w:unhideWhenUsed/>
    <w:rsid w:val="00DD5792"/>
    <w:rPr>
      <w:sz w:val="20"/>
      <w:szCs w:val="20"/>
    </w:rPr>
  </w:style>
  <w:style w:type="character" w:customStyle="1" w:styleId="CommentTextChar">
    <w:name w:val="Comment Text Char"/>
    <w:basedOn w:val="DefaultParagraphFont"/>
    <w:link w:val="CommentText"/>
    <w:uiPriority w:val="99"/>
    <w:semiHidden/>
    <w:rsid w:val="00DD5792"/>
    <w:rPr>
      <w:sz w:val="20"/>
      <w:szCs w:val="20"/>
    </w:rPr>
  </w:style>
  <w:style w:type="paragraph" w:styleId="CommentSubject">
    <w:name w:val="annotation subject"/>
    <w:basedOn w:val="CommentText"/>
    <w:next w:val="CommentText"/>
    <w:link w:val="CommentSubjectChar"/>
    <w:uiPriority w:val="99"/>
    <w:semiHidden/>
    <w:unhideWhenUsed/>
    <w:rsid w:val="00DD5792"/>
    <w:rPr>
      <w:b/>
      <w:bCs/>
    </w:rPr>
  </w:style>
  <w:style w:type="character" w:customStyle="1" w:styleId="CommentSubjectChar">
    <w:name w:val="Comment Subject Char"/>
    <w:basedOn w:val="CommentTextChar"/>
    <w:link w:val="CommentSubject"/>
    <w:uiPriority w:val="99"/>
    <w:semiHidden/>
    <w:rsid w:val="00DD5792"/>
    <w:rPr>
      <w:b/>
      <w:bCs/>
      <w:sz w:val="20"/>
      <w:szCs w:val="20"/>
    </w:rPr>
  </w:style>
  <w:style w:type="paragraph" w:styleId="BalloonText">
    <w:name w:val="Balloon Text"/>
    <w:basedOn w:val="Normal"/>
    <w:link w:val="BalloonTextChar"/>
    <w:uiPriority w:val="99"/>
    <w:semiHidden/>
    <w:unhideWhenUsed/>
    <w:rsid w:val="00DD57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AF1B7269A9B8E47B5E4F32F8BED3F9B" ma:contentTypeVersion="7" ma:contentTypeDescription="ShareHub Document" ma:contentTypeScope="" ma:versionID="d5aec796261a67e275de22e79980bebc">
  <xsd:schema xmlns:xsd="http://www.w3.org/2001/XMLSchema" xmlns:xs="http://www.w3.org/2001/XMLSchema" xmlns:p="http://schemas.microsoft.com/office/2006/metadata/properties" xmlns:ns1="65857967-e8c9-4063-9a29-bba3c199914d" xmlns:ns3="685f9fda-bd71-4433-b331-92feb9553089" targetNamespace="http://schemas.microsoft.com/office/2006/metadata/properties" ma:root="true" ma:fieldsID="78bbd438d0bf37c07ec5f5dfbc1e3147" ns1:_="" ns3:_="">
    <xsd:import namespace="65857967-e8c9-4063-9a29-bba3c199914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7967-e8c9-4063-9a29-bba3c199914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addd63-b777-46d0-acae-455a9f4ded8a}" ma:internalName="TaxCatchAll" ma:showField="CatchAllData"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addd63-b777-46d0-acae-455a9f4ded8a}" ma:internalName="TaxCatchAllLabel" ma:readOnly="true" ma:showField="CatchAllDataLabel"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65857967-e8c9-4063-9a29-bba3c199914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65857967-e8c9-4063-9a29-bba3c199914d">SHD21-100049</ShareHubID>
    <PMCNotes xmlns="65857967-e8c9-4063-9a29-bba3c199914d" xsi:nil="true"/>
    <jd1c641577414dfdab1686c9d5d0dbd0 xmlns="65857967-e8c9-4063-9a29-bba3c199914d">
      <Terms xmlns="http://schemas.microsoft.com/office/infopath/2007/PartnerControls"/>
    </jd1c641577414dfdab1686c9d5d0dbd0>
    <NonRecordJustification xmlns="685f9fda-bd71-4433-b331-92feb9553089">None</NonRecordJustification>
    <TaxCatchAll xmlns="65857967-e8c9-4063-9a29-bba3c199914d">
      <Value>5</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26612-2033-40C5-BE47-093254E15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7967-e8c9-4063-9a29-bba3c199914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AB19A-0565-4D64-8048-6E022BD13E49}">
  <ds:schemaRefs>
    <ds:schemaRef ds:uri="http://schemas.microsoft.com/sharepoint/v3/contenttype/forms"/>
  </ds:schemaRefs>
</ds:datastoreItem>
</file>

<file path=customXml/itemProps3.xml><?xml version="1.0" encoding="utf-8"?>
<ds:datastoreItem xmlns:ds="http://schemas.openxmlformats.org/officeDocument/2006/customXml" ds:itemID="{0E91235B-F2D0-40D3-9343-8C35B84C0C85}">
  <ds:schemaRefs>
    <ds:schemaRef ds:uri="http://schemas.microsoft.com/office/2006/metadata/properties"/>
    <ds:schemaRef ds:uri="http://schemas.microsoft.com/office/infopath/2007/PartnerControls"/>
    <ds:schemaRef ds:uri="65857967-e8c9-4063-9a29-bba3c199914d"/>
    <ds:schemaRef ds:uri="685f9fda-bd71-4433-b331-92feb9553089"/>
  </ds:schemaRefs>
</ds:datastoreItem>
</file>

<file path=customXml/itemProps4.xml><?xml version="1.0" encoding="utf-8"?>
<ds:datastoreItem xmlns:ds="http://schemas.openxmlformats.org/officeDocument/2006/customXml" ds:itemID="{20A826B7-8EE3-4A17-8362-52FBDE50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Pirani, Matthew</cp:lastModifiedBy>
  <cp:revision>3</cp:revision>
  <dcterms:created xsi:type="dcterms:W3CDTF">2022-01-13T19:39:00Z</dcterms:created>
  <dcterms:modified xsi:type="dcterms:W3CDTF">2022-02-01T04:22:00Z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0x0101002825A64A6E1845A99A9D8EE8A5686ECB005AF1B7269A9B8E47B5E4F32F8BED3F9B</vt:lpwstr>
  </property>
  <property fmtid="{D5CDD505-2E9C-101B-9397-08002B2CF9AE}" pid="3" name="HPRMSecurityLevel">
    <vt:lpwstr>5;#OFFICIAL|11463c70-78df-4e3b-b0ff-f66cd3cb26ec</vt:lpwstr>
  </property>
  <property fmtid="{D5CDD505-2E9C-101B-9397-08002B2CF9AE}" pid="4" name="HPRMSecurityCaveat">
    <vt:lpwstr/>
  </property>
</Properties>
</file>