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B8144" w14:textId="2827CF8D" w:rsidR="00A3132A" w:rsidRDefault="0095327C" w:rsidP="0042096A">
      <w:pPr>
        <w:pStyle w:val="ListParagraph"/>
        <w:numPr>
          <w:ilvl w:val="0"/>
          <w:numId w:val="15"/>
        </w:numPr>
        <w:ind w:left="714" w:hanging="357"/>
        <w:contextualSpacing w:val="0"/>
      </w:pPr>
      <w:r w:rsidRPr="0095327C">
        <w:t xml:space="preserve">Australian Public Service (APS) </w:t>
      </w:r>
      <w:r>
        <w:t xml:space="preserve">agency heads </w:t>
      </w:r>
      <w:r w:rsidR="00A8523A">
        <w:t xml:space="preserve">may </w:t>
      </w:r>
      <w:r>
        <w:t>occasionally receive gifts and benefits from people and organisations in the perfor</w:t>
      </w:r>
      <w:r w:rsidR="00F63897">
        <w:t>mance of their official duties.</w:t>
      </w:r>
    </w:p>
    <w:p w14:paraId="331875AF" w14:textId="3F0B1FE7" w:rsidR="00753C35" w:rsidRDefault="00A3132A" w:rsidP="0042096A">
      <w:pPr>
        <w:pStyle w:val="ListParagraph"/>
        <w:numPr>
          <w:ilvl w:val="0"/>
          <w:numId w:val="15"/>
        </w:numPr>
        <w:ind w:left="714" w:hanging="357"/>
        <w:contextualSpacing w:val="0"/>
      </w:pPr>
      <w:r>
        <w:t>T</w:t>
      </w:r>
      <w:r w:rsidRPr="00454737">
        <w:t>his guidance</w:t>
      </w:r>
      <w:r>
        <w:t xml:space="preserve"> requires all agency heads to publicly disclose all gifts or benefits accepted and valued at over $AUD100.00 (excluding GST). Reporting gifts and benefits accepted by agency heads in the performance of official duties helps to maintain public confidence in the integrity of APS agencies and the APS more broadly. </w:t>
      </w:r>
    </w:p>
    <w:p w14:paraId="4C6795B0" w14:textId="77777777" w:rsidR="00BB7783" w:rsidRDefault="00BB7783" w:rsidP="0042096A">
      <w:pPr>
        <w:pStyle w:val="Bodyoftext"/>
        <w:numPr>
          <w:ilvl w:val="0"/>
          <w:numId w:val="15"/>
        </w:numPr>
      </w:pPr>
      <w:r>
        <w:t>The principles underpinning this guidance are that:</w:t>
      </w:r>
    </w:p>
    <w:p w14:paraId="3CE655FB" w14:textId="2F2A58D5" w:rsidR="00BB7783" w:rsidRDefault="00BB7783" w:rsidP="00F212E5">
      <w:pPr>
        <w:pStyle w:val="ListParagraph"/>
        <w:numPr>
          <w:ilvl w:val="0"/>
          <w:numId w:val="13"/>
        </w:numPr>
        <w:tabs>
          <w:tab w:val="left" w:pos="1418"/>
        </w:tabs>
        <w:kinsoku w:val="0"/>
        <w:overflowPunct w:val="0"/>
        <w:autoSpaceDE w:val="0"/>
        <w:autoSpaceDN w:val="0"/>
        <w:adjustRightInd w:val="0"/>
        <w:ind w:left="1077" w:hanging="357"/>
        <w:contextualSpacing w:val="0"/>
      </w:pPr>
      <w:r>
        <w:t>agency heads are meeting public expectations of integrity, accountability, independence, transparency and professionalism in relation to gifts and benefits; and</w:t>
      </w:r>
    </w:p>
    <w:p w14:paraId="50896C96" w14:textId="3025042E" w:rsidR="00BB7783" w:rsidRDefault="00BB7783" w:rsidP="00F212E5">
      <w:pPr>
        <w:pStyle w:val="ListParagraph"/>
        <w:numPr>
          <w:ilvl w:val="0"/>
          <w:numId w:val="13"/>
        </w:numPr>
        <w:tabs>
          <w:tab w:val="left" w:pos="1418"/>
        </w:tabs>
        <w:kinsoku w:val="0"/>
        <w:overflowPunct w:val="0"/>
        <w:autoSpaceDE w:val="0"/>
        <w:autoSpaceDN w:val="0"/>
        <w:adjustRightInd w:val="0"/>
        <w:ind w:left="1077" w:hanging="357"/>
        <w:contextualSpacing w:val="0"/>
      </w:pPr>
      <w:r>
        <w:t>there is consistency in relation to agency heads’ management of gifts and benefits across APS agencies and Commonwealth entities and companies.</w:t>
      </w:r>
    </w:p>
    <w:p w14:paraId="4317846B" w14:textId="4DA45DEE" w:rsidR="007E2476" w:rsidRDefault="007E2476" w:rsidP="0042096A">
      <w:pPr>
        <w:pStyle w:val="Bodyoftext"/>
        <w:numPr>
          <w:ilvl w:val="0"/>
          <w:numId w:val="15"/>
        </w:numPr>
        <w:rPr>
          <w:rFonts w:asciiTheme="minorHAnsi" w:hAnsiTheme="minorHAnsi" w:cstheme="minorHAnsi"/>
        </w:rPr>
      </w:pPr>
      <w:r>
        <w:rPr>
          <w:rFonts w:asciiTheme="minorHAnsi" w:hAnsiTheme="minorHAnsi" w:cstheme="minorHAnsi"/>
        </w:rPr>
        <w:t>Agency heads must:</w:t>
      </w:r>
    </w:p>
    <w:p w14:paraId="783FD31C" w14:textId="399E7A84" w:rsidR="007E2476"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8B7F7E">
        <w:t>publish a register of gifts and benefits</w:t>
      </w:r>
      <w:r w:rsidR="00BB7783">
        <w:t xml:space="preserve"> </w:t>
      </w:r>
      <w:r w:rsidRPr="008B7F7E">
        <w:t xml:space="preserve">they accept </w:t>
      </w:r>
      <w:r w:rsidR="00BB7783">
        <w:t>that are valued at over $AUD100.00 (excluding GST)</w:t>
      </w:r>
      <w:r w:rsidR="00BB7783" w:rsidRPr="008B7F7E">
        <w:t xml:space="preserve"> </w:t>
      </w:r>
      <w:r w:rsidRPr="008B7F7E">
        <w:t>on their departmental or agency website on a quarterly basis</w:t>
      </w:r>
      <w:r w:rsidRPr="00A85121">
        <w:t>;</w:t>
      </w:r>
    </w:p>
    <w:p w14:paraId="4392DBFF" w14:textId="34CA360C" w:rsidR="007E2476" w:rsidRPr="008B7F7E"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t>p</w:t>
      </w:r>
      <w:r w:rsidR="00F33D3C">
        <w:t>rovide a link to the agency head</w:t>
      </w:r>
      <w:r>
        <w:t xml:space="preserve"> </w:t>
      </w:r>
      <w:r w:rsidRPr="003A183F">
        <w:t>gifts and benefits</w:t>
      </w:r>
      <w:r>
        <w:t xml:space="preserve"> </w:t>
      </w:r>
      <w:r w:rsidR="00A37690">
        <w:t xml:space="preserve">register </w:t>
      </w:r>
      <w:r>
        <w:t>to the A</w:t>
      </w:r>
      <w:r w:rsidR="00E64000">
        <w:t xml:space="preserve">ustralian </w:t>
      </w:r>
      <w:r>
        <w:t>P</w:t>
      </w:r>
      <w:r w:rsidR="00E64000">
        <w:t xml:space="preserve">ublic </w:t>
      </w:r>
      <w:r>
        <w:t>S</w:t>
      </w:r>
      <w:r w:rsidR="00E64000">
        <w:t>ervice</w:t>
      </w:r>
      <w:r>
        <w:t xml:space="preserve"> Commission</w:t>
      </w:r>
      <w:r w:rsidR="00E64000">
        <w:t xml:space="preserve"> (the Commission)</w:t>
      </w:r>
      <w:r w:rsidR="00A37690">
        <w:t xml:space="preserve"> for publication on the Commission’s website</w:t>
      </w:r>
      <w:r>
        <w:t>;</w:t>
      </w:r>
    </w:p>
    <w:p w14:paraId="740EA52B" w14:textId="77777777" w:rsidR="007A4349" w:rsidRDefault="007A4349"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7D72A3">
        <w:t>collect and store the relevant information, and manage their register, in accordance with their agency’s procedures</w:t>
      </w:r>
      <w:r>
        <w:t xml:space="preserve">; </w:t>
      </w:r>
    </w:p>
    <w:p w14:paraId="70E35329" w14:textId="0D7F29B7" w:rsidR="007E2476" w:rsidRPr="008B7F7E"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A85121">
        <w:t>u</w:t>
      </w:r>
      <w:r w:rsidRPr="008B7F7E">
        <w:t>pdate the register within 31 days of receiving a gift or benefit</w:t>
      </w:r>
      <w:r>
        <w:t>;</w:t>
      </w:r>
      <w:r w:rsidR="007A4349">
        <w:t xml:space="preserve"> </w:t>
      </w:r>
      <w:r>
        <w:t>and</w:t>
      </w:r>
    </w:p>
    <w:p w14:paraId="2B493836" w14:textId="6798BBFB" w:rsidR="007E2476" w:rsidRDefault="007E2476" w:rsidP="00F212E5">
      <w:pPr>
        <w:pStyle w:val="ListParagraph"/>
        <w:numPr>
          <w:ilvl w:val="0"/>
          <w:numId w:val="7"/>
        </w:numPr>
        <w:tabs>
          <w:tab w:val="left" w:pos="1418"/>
        </w:tabs>
        <w:kinsoku w:val="0"/>
        <w:overflowPunct w:val="0"/>
        <w:autoSpaceDE w:val="0"/>
        <w:autoSpaceDN w:val="0"/>
        <w:adjustRightInd w:val="0"/>
        <w:ind w:left="1077" w:hanging="357"/>
        <w:contextualSpacing w:val="0"/>
      </w:pPr>
      <w:r w:rsidRPr="008B7F7E">
        <w:t>publish a ‘nil’ declaration on the gifts and benefits register where agency heads have not accepted any gifts during the reporting period.</w:t>
      </w:r>
    </w:p>
    <w:p w14:paraId="5E2A1822" w14:textId="4CE54DF2" w:rsidR="00491D61" w:rsidRDefault="007E2476" w:rsidP="0042096A">
      <w:pPr>
        <w:pStyle w:val="Bodyoftext"/>
        <w:numPr>
          <w:ilvl w:val="0"/>
          <w:numId w:val="15"/>
        </w:numPr>
        <w:ind w:left="714" w:hanging="357"/>
      </w:pPr>
      <w:r>
        <w:t xml:space="preserve">This guidance highlights the risks that accepting </w:t>
      </w:r>
      <w:r w:rsidR="002B66FA">
        <w:t xml:space="preserve">certain </w:t>
      </w:r>
      <w:r>
        <w:t xml:space="preserve">gifts and benefits can pose on public confidence in APS </w:t>
      </w:r>
      <w:r w:rsidR="00F62C9A">
        <w:t xml:space="preserve">agencies </w:t>
      </w:r>
      <w:r>
        <w:t xml:space="preserve">and </w:t>
      </w:r>
      <w:r w:rsidR="00A37690">
        <w:t>t</w:t>
      </w:r>
      <w:r w:rsidR="00EA2D98">
        <w:t>he APS</w:t>
      </w:r>
      <w:r w:rsidR="00A37690">
        <w:t xml:space="preserve"> more broadly</w:t>
      </w:r>
      <w:r>
        <w:t>.</w:t>
      </w:r>
      <w:r w:rsidR="00316BAC">
        <w:t xml:space="preserve"> It </w:t>
      </w:r>
      <w:r w:rsidR="002B66FA">
        <w:t xml:space="preserve">has been developed in line with the </w:t>
      </w:r>
      <w:r w:rsidR="002B66FA" w:rsidRPr="00687A7C">
        <w:rPr>
          <w:i/>
        </w:rPr>
        <w:t>Public Governance, Performance and Accountability Act </w:t>
      </w:r>
      <w:r w:rsidR="002B66FA" w:rsidRPr="001E55F5">
        <w:rPr>
          <w:i/>
        </w:rPr>
        <w:t>2013</w:t>
      </w:r>
      <w:r w:rsidR="002B66FA" w:rsidRPr="00DB27C7">
        <w:t xml:space="preserve"> (PGPA Act)</w:t>
      </w:r>
      <w:r w:rsidR="002B66FA">
        <w:t xml:space="preserve">, and the </w:t>
      </w:r>
      <w:r w:rsidR="0000196B">
        <w:t>Code</w:t>
      </w:r>
      <w:r w:rsidR="002B66FA">
        <w:t xml:space="preserve"> </w:t>
      </w:r>
      <w:r w:rsidR="00D84417">
        <w:t xml:space="preserve">of Conduct </w:t>
      </w:r>
      <w:r w:rsidR="002B66FA">
        <w:t>contained in the</w:t>
      </w:r>
      <w:r w:rsidR="002B66FA" w:rsidRPr="00687A7C">
        <w:rPr>
          <w:i/>
        </w:rPr>
        <w:t xml:space="preserve"> Public Service Act 1999 </w:t>
      </w:r>
      <w:r w:rsidR="002B66FA">
        <w:t>(PS Act)</w:t>
      </w:r>
      <w:r w:rsidR="005C713C">
        <w:t xml:space="preserve">. This policy </w:t>
      </w:r>
      <w:r w:rsidR="00316BAC">
        <w:t xml:space="preserve">should </w:t>
      </w:r>
      <w:r w:rsidR="00316BAC" w:rsidRPr="00954974">
        <w:t>be read in conjunction with agency-specific policies.</w:t>
      </w:r>
    </w:p>
    <w:p w14:paraId="0FECC5D8" w14:textId="77E7F2DB" w:rsidR="00491D61" w:rsidRDefault="00491D61" w:rsidP="0042096A">
      <w:pPr>
        <w:pStyle w:val="Bodyoftext"/>
        <w:numPr>
          <w:ilvl w:val="0"/>
          <w:numId w:val="15"/>
        </w:numPr>
        <w:ind w:left="714" w:hanging="357"/>
      </w:pPr>
      <w:r>
        <w:t>This guidance commences on 1 December 2021.</w:t>
      </w:r>
    </w:p>
    <w:p w14:paraId="600C3802" w14:textId="1520F3BE" w:rsidR="00313C30" w:rsidRPr="00FB6593" w:rsidRDefault="003265A8" w:rsidP="00610414">
      <w:pPr>
        <w:spacing w:after="200" w:line="276" w:lineRule="auto"/>
      </w:pPr>
      <w:r>
        <w:br w:type="page"/>
      </w:r>
    </w:p>
    <w:p w14:paraId="152E226E" w14:textId="0B69C340" w:rsidR="007A4349" w:rsidRDefault="00942E0C" w:rsidP="00FB6593">
      <w:pPr>
        <w:pStyle w:val="ListParagraph"/>
        <w:keepNext/>
        <w:spacing w:after="0" w:line="240" w:lineRule="auto"/>
        <w:ind w:left="0"/>
        <w:contextualSpacing w:val="0"/>
        <w:jc w:val="both"/>
      </w:pPr>
      <w:r>
        <w:rPr>
          <w:rFonts w:asciiTheme="minorHAnsi" w:hAnsiTheme="minorHAnsi" w:cstheme="minorHAnsi"/>
        </w:rPr>
        <w:lastRenderedPageBreak/>
        <w:tab/>
      </w:r>
    </w:p>
    <w:p w14:paraId="090ED44B" w14:textId="7EEFF8CD" w:rsidR="007E2476" w:rsidRDefault="00804ADF" w:rsidP="00F212E5">
      <w:pPr>
        <w:pStyle w:val="Heading3"/>
      </w:pPr>
      <w:r>
        <w:t>Why should gifts and benefits be declared?</w:t>
      </w:r>
    </w:p>
    <w:p w14:paraId="18F3018A" w14:textId="4318AF74" w:rsidR="00773050" w:rsidRDefault="00A03637" w:rsidP="0042096A">
      <w:pPr>
        <w:pStyle w:val="Bodyoftext"/>
        <w:numPr>
          <w:ilvl w:val="0"/>
          <w:numId w:val="15"/>
        </w:numPr>
      </w:pPr>
      <w:r>
        <w:t>A</w:t>
      </w:r>
      <w:r w:rsidR="00A37690">
        <w:t>gency heads</w:t>
      </w:r>
      <w:r w:rsidR="00804ADF">
        <w:t xml:space="preserve"> </w:t>
      </w:r>
      <w:r w:rsidR="003344C0">
        <w:t>must</w:t>
      </w:r>
      <w:r w:rsidR="00F33D3C" w:rsidRPr="00F33D3C">
        <w:t xml:space="preserve"> </w:t>
      </w:r>
      <w:r w:rsidR="000F39F8">
        <w:t xml:space="preserve">uphold and </w:t>
      </w:r>
      <w:r w:rsidR="00F33D3C" w:rsidRPr="00F33D3C">
        <w:t>promote the APS Values and Employment Principles</w:t>
      </w:r>
      <w:r w:rsidR="00F33D3C">
        <w:t xml:space="preserve"> and abide by the </w:t>
      </w:r>
      <w:r w:rsidR="00F33D3C" w:rsidRPr="00804ADF">
        <w:t>Code</w:t>
      </w:r>
      <w:r w:rsidR="00F33D3C">
        <w:t xml:space="preserve">. In doing so, </w:t>
      </w:r>
      <w:r w:rsidR="008F522B">
        <w:t>the acceptance and declaration of</w:t>
      </w:r>
      <w:r w:rsidR="00F33D3C">
        <w:t xml:space="preserve"> gifts and benefits </w:t>
      </w:r>
      <w:r w:rsidR="00090D3B">
        <w:t>must be considered in the context of</w:t>
      </w:r>
      <w:r w:rsidR="00773050">
        <w:t>:</w:t>
      </w:r>
    </w:p>
    <w:p w14:paraId="3D8EB8C4" w14:textId="34E1348F" w:rsidR="00773050"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impartiality</w:t>
      </w:r>
      <w:r w:rsidR="00767348">
        <w:t>;</w:t>
      </w:r>
    </w:p>
    <w:p w14:paraId="2753026F" w14:textId="417B4FA5" w:rsidR="00773050" w:rsidRDefault="0076734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a</w:t>
      </w:r>
      <w:r w:rsidR="00316BAC">
        <w:t>ccountability</w:t>
      </w:r>
      <w:r>
        <w:t>;</w:t>
      </w:r>
    </w:p>
    <w:p w14:paraId="36911DE3" w14:textId="3981B8A1" w:rsidR="00773050"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ethical conduct</w:t>
      </w:r>
      <w:r w:rsidR="00767348">
        <w:t>;</w:t>
      </w:r>
    </w:p>
    <w:p w14:paraId="783464D4" w14:textId="02C81A2B" w:rsidR="00773050" w:rsidRDefault="00090D3B"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behaving</w:t>
      </w:r>
      <w:r w:rsidRPr="00090D3B">
        <w:t xml:space="preserve"> honestly and with integrity</w:t>
      </w:r>
      <w:r w:rsidR="00767348">
        <w:t>;</w:t>
      </w:r>
    </w:p>
    <w:p w14:paraId="0D0D1147" w14:textId="2BFFEAE2" w:rsidR="00773050" w:rsidRDefault="00090D3B"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avoiding </w:t>
      </w:r>
      <w:r w:rsidRPr="00090D3B">
        <w:t>any conflict of interest</w:t>
      </w:r>
      <w:r w:rsidR="00767348">
        <w:t>; and</w:t>
      </w:r>
    </w:p>
    <w:p w14:paraId="005EB94F" w14:textId="2BABAF63" w:rsidR="00D366A9" w:rsidRDefault="0077305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n</w:t>
      </w:r>
      <w:r w:rsidR="00090D3B">
        <w:t>ot improperly using the agency head’s duties, status, power or authority to gain, or seek to gain, a benefit or an advantage.</w:t>
      </w:r>
    </w:p>
    <w:p w14:paraId="0B5AD7E7" w14:textId="51ABE66E" w:rsidR="00BA60F2" w:rsidRDefault="000F39F8" w:rsidP="0042096A">
      <w:pPr>
        <w:pStyle w:val="Bodyoftext"/>
        <w:numPr>
          <w:ilvl w:val="0"/>
          <w:numId w:val="15"/>
        </w:numPr>
        <w:spacing w:before="120" w:after="0"/>
        <w:ind w:left="714" w:hanging="357"/>
      </w:pPr>
      <w:r>
        <w:t xml:space="preserve">Often </w:t>
      </w:r>
      <w:r w:rsidR="00804ADF">
        <w:t xml:space="preserve">gifts and benefits received by </w:t>
      </w:r>
      <w:r w:rsidR="00A37690">
        <w:t>agency heads</w:t>
      </w:r>
      <w:r w:rsidR="00181759">
        <w:t xml:space="preserve"> </w:t>
      </w:r>
      <w:r w:rsidR="008F522B">
        <w:t xml:space="preserve">involve official hospitality and </w:t>
      </w:r>
      <w:r w:rsidR="003344C0">
        <w:t>low-value mementos offered by visiting dignitaries and delegations</w:t>
      </w:r>
      <w:r w:rsidR="002A0088">
        <w:t xml:space="preserve">. </w:t>
      </w:r>
      <w:r w:rsidR="00804ADF">
        <w:t xml:space="preserve">Accepting a gift or benefit </w:t>
      </w:r>
      <w:r w:rsidR="002A0088">
        <w:t>of this nature is</w:t>
      </w:r>
      <w:r w:rsidR="00804ADF">
        <w:t xml:space="preserve"> unli</w:t>
      </w:r>
      <w:r w:rsidR="002A0088">
        <w:t xml:space="preserve">kely to be inconsistent with an </w:t>
      </w:r>
      <w:r w:rsidR="00A37690">
        <w:t>agency head’s</w:t>
      </w:r>
      <w:r w:rsidR="00804ADF">
        <w:t xml:space="preserve"> </w:t>
      </w:r>
      <w:r w:rsidR="002A0088">
        <w:t>obligations</w:t>
      </w:r>
      <w:r w:rsidR="00A3132A">
        <w:t>;</w:t>
      </w:r>
      <w:r w:rsidR="00BE2486">
        <w:t xml:space="preserve"> </w:t>
      </w:r>
      <w:r w:rsidR="00A3132A">
        <w:t>h</w:t>
      </w:r>
      <w:r w:rsidR="00804ADF">
        <w:t xml:space="preserve">owever, </w:t>
      </w:r>
      <w:r w:rsidR="00B43D86" w:rsidRPr="00B43D86">
        <w:t>agency heads must take reasonable steps to avoid any conflict of interest (real or apparent) when dealing with gifts and benefits.</w:t>
      </w:r>
      <w:r w:rsidR="002B66FA">
        <w:t xml:space="preserve"> </w:t>
      </w:r>
    </w:p>
    <w:p w14:paraId="448E6462" w14:textId="49115B49" w:rsidR="00D366A9" w:rsidRDefault="0000196B" w:rsidP="0042096A">
      <w:pPr>
        <w:pStyle w:val="Bodyoftext"/>
        <w:numPr>
          <w:ilvl w:val="0"/>
          <w:numId w:val="15"/>
        </w:numPr>
        <w:spacing w:before="120" w:after="0"/>
      </w:pPr>
      <w:r>
        <w:t>Public confidence in APS agencies and the APS more broadly can be damaged when gifts and benefits that create a conflict of interest are accepted or not properly declared.</w:t>
      </w:r>
      <w:r w:rsidR="00BA60F2">
        <w:t xml:space="preserve"> The </w:t>
      </w:r>
      <w:r w:rsidR="002B66FA" w:rsidRPr="002B66FA">
        <w:t>appearance of a conflict can be just as damaging to public confidence in public administration as a conflict which gives rise to a concern based on objective facts.</w:t>
      </w:r>
    </w:p>
    <w:p w14:paraId="17F5C22B" w14:textId="06213B6A" w:rsidR="0094154C" w:rsidRDefault="001E55F5" w:rsidP="00F212E5">
      <w:pPr>
        <w:pStyle w:val="Heading3"/>
      </w:pPr>
      <w:r>
        <w:t>Who needs to declare gifts and benefits?</w:t>
      </w:r>
    </w:p>
    <w:p w14:paraId="4A26AA43" w14:textId="77777777" w:rsidR="00F85D0E" w:rsidRDefault="00F85D0E" w:rsidP="0042096A">
      <w:pPr>
        <w:pStyle w:val="Bodyoftext"/>
        <w:numPr>
          <w:ilvl w:val="0"/>
          <w:numId w:val="15"/>
        </w:numPr>
        <w:spacing w:before="120" w:after="0"/>
      </w:pPr>
      <w:r w:rsidRPr="00F85D0E">
        <w:t>Th</w:t>
      </w:r>
      <w:r w:rsidR="00C05708">
        <w:t>e declaration and reporting obligations contained within this</w:t>
      </w:r>
      <w:r w:rsidRPr="00F85D0E">
        <w:t xml:space="preserve"> guid</w:t>
      </w:r>
      <w:r w:rsidR="003F012C">
        <w:t>ance</w:t>
      </w:r>
      <w:r w:rsidRPr="00F85D0E">
        <w:t xml:space="preserve"> appl</w:t>
      </w:r>
      <w:r w:rsidR="00C05708">
        <w:t>y</w:t>
      </w:r>
      <w:r w:rsidRPr="00F85D0E">
        <w:t xml:space="preserve"> to:</w:t>
      </w:r>
    </w:p>
    <w:p w14:paraId="485EA07C" w14:textId="77777777" w:rsidR="00F85D0E" w:rsidRDefault="00BC1E5A"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a</w:t>
      </w:r>
      <w:r w:rsidR="00F85D0E" w:rsidRPr="00F85D0E">
        <w:t xml:space="preserve">ll </w:t>
      </w:r>
      <w:r w:rsidR="00F85D0E">
        <w:t>agency heads</w:t>
      </w:r>
      <w:r w:rsidR="00F85D0E" w:rsidRPr="00F85D0E">
        <w:t xml:space="preserve"> who receive gifts or benefits in the course of their official duties</w:t>
      </w:r>
      <w:r w:rsidR="00E5238E">
        <w:t>;</w:t>
      </w:r>
      <w:r>
        <w:t xml:space="preserve"> and</w:t>
      </w:r>
    </w:p>
    <w:p w14:paraId="2ACDBE54" w14:textId="034E1734" w:rsidR="00BA60F2" w:rsidRDefault="00BC1E5A"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t</w:t>
      </w:r>
      <w:r w:rsidR="00F85D0E" w:rsidRPr="008B7F7E">
        <w:t xml:space="preserve">he immediate families and dependants of </w:t>
      </w:r>
      <w:r w:rsidR="00AC17FD" w:rsidRPr="008B7F7E">
        <w:t>a</w:t>
      </w:r>
      <w:r w:rsidR="00F85D0E" w:rsidRPr="008B7F7E">
        <w:t>gency heads</w:t>
      </w:r>
      <w:r w:rsidR="008F324A" w:rsidRPr="008B7F7E">
        <w:t>,</w:t>
      </w:r>
      <w:r w:rsidR="00F85D0E" w:rsidRPr="008B7F7E">
        <w:t xml:space="preserve"> but only in relation to or consequential </w:t>
      </w:r>
      <w:r w:rsidR="00610414">
        <w:t>to</w:t>
      </w:r>
      <w:r w:rsidR="00F85D0E" w:rsidRPr="008B7F7E">
        <w:t xml:space="preserve"> the official duties of agency heads.</w:t>
      </w:r>
    </w:p>
    <w:p w14:paraId="4228CC25" w14:textId="620E8D5F" w:rsidR="00BA60F2" w:rsidRPr="00BA60F2" w:rsidRDefault="002B66FA" w:rsidP="00F212E5">
      <w:pPr>
        <w:pStyle w:val="Heading4"/>
        <w:spacing w:before="240"/>
      </w:pPr>
      <w:r>
        <w:t xml:space="preserve">Further distribution </w:t>
      </w:r>
      <w:r w:rsidR="00300228">
        <w:t xml:space="preserve">and application </w:t>
      </w:r>
      <w:r>
        <w:t>of this guidance</w:t>
      </w:r>
    </w:p>
    <w:p w14:paraId="70342297" w14:textId="2C8EDAC4" w:rsidR="00172B55" w:rsidRPr="0040254B" w:rsidRDefault="00CF2862" w:rsidP="0042096A">
      <w:pPr>
        <w:pStyle w:val="Bodyoftext"/>
        <w:numPr>
          <w:ilvl w:val="0"/>
          <w:numId w:val="15"/>
        </w:numPr>
        <w:spacing w:before="120" w:after="0"/>
        <w:rPr>
          <w:rFonts w:asciiTheme="minorHAnsi" w:hAnsiTheme="minorHAnsi" w:cstheme="minorHAnsi"/>
          <w:spacing w:val="-2"/>
        </w:rPr>
      </w:pPr>
      <w:r w:rsidRPr="008B7F7E">
        <w:rPr>
          <w:rFonts w:asciiTheme="minorHAnsi" w:hAnsiTheme="minorHAnsi" w:cstheme="minorHAnsi"/>
          <w:spacing w:val="-2"/>
        </w:rPr>
        <w:t xml:space="preserve">Secretaries of </w:t>
      </w:r>
      <w:r w:rsidR="00BE2486">
        <w:rPr>
          <w:rFonts w:asciiTheme="minorHAnsi" w:hAnsiTheme="minorHAnsi" w:cstheme="minorHAnsi"/>
          <w:spacing w:val="-2"/>
        </w:rPr>
        <w:t>d</w:t>
      </w:r>
      <w:r w:rsidRPr="008B7F7E">
        <w:rPr>
          <w:rFonts w:asciiTheme="minorHAnsi" w:hAnsiTheme="minorHAnsi" w:cstheme="minorHAnsi"/>
          <w:spacing w:val="-2"/>
        </w:rPr>
        <w:t>epartments</w:t>
      </w:r>
      <w:r w:rsidR="00AB408C" w:rsidRPr="008B7F7E">
        <w:rPr>
          <w:rFonts w:asciiTheme="minorHAnsi" w:hAnsiTheme="minorHAnsi" w:cstheme="minorHAnsi"/>
          <w:spacing w:val="-2"/>
        </w:rPr>
        <w:t xml:space="preserve"> </w:t>
      </w:r>
      <w:r w:rsidR="00170370" w:rsidRPr="008B7F7E">
        <w:rPr>
          <w:rFonts w:asciiTheme="minorHAnsi" w:hAnsiTheme="minorHAnsi" w:cstheme="minorHAnsi"/>
          <w:spacing w:val="-2"/>
        </w:rPr>
        <w:t>should</w:t>
      </w:r>
      <w:r w:rsidR="00A74058" w:rsidRPr="008B7F7E">
        <w:rPr>
          <w:rFonts w:asciiTheme="minorHAnsi" w:hAnsiTheme="minorHAnsi" w:cstheme="minorHAnsi"/>
          <w:spacing w:val="-2"/>
        </w:rPr>
        <w:t xml:space="preserve"> ci</w:t>
      </w:r>
      <w:r w:rsidR="00951311" w:rsidRPr="008B7F7E">
        <w:rPr>
          <w:rFonts w:asciiTheme="minorHAnsi" w:hAnsiTheme="minorHAnsi" w:cstheme="minorHAnsi"/>
          <w:spacing w:val="-2"/>
        </w:rPr>
        <w:t xml:space="preserve">rculate this guidance </w:t>
      </w:r>
      <w:r w:rsidR="008F324A" w:rsidRPr="008B7F7E">
        <w:rPr>
          <w:rFonts w:asciiTheme="minorHAnsi" w:hAnsiTheme="minorHAnsi" w:cstheme="minorHAnsi"/>
          <w:spacing w:val="-2"/>
        </w:rPr>
        <w:t>to</w:t>
      </w:r>
      <w:r w:rsidR="00951311" w:rsidRPr="008B7F7E">
        <w:rPr>
          <w:rFonts w:asciiTheme="minorHAnsi" w:hAnsiTheme="minorHAnsi" w:cstheme="minorHAnsi"/>
          <w:spacing w:val="-2"/>
        </w:rPr>
        <w:t xml:space="preserve"> all </w:t>
      </w:r>
      <w:r w:rsidR="00170370" w:rsidRPr="008B7F7E">
        <w:rPr>
          <w:rFonts w:asciiTheme="minorHAnsi" w:hAnsiTheme="minorHAnsi" w:cstheme="minorHAnsi"/>
          <w:spacing w:val="-2"/>
        </w:rPr>
        <w:t>statutory office holders</w:t>
      </w:r>
      <w:r w:rsidR="00AB408C" w:rsidRPr="008B7F7E">
        <w:rPr>
          <w:rFonts w:asciiTheme="minorHAnsi" w:hAnsiTheme="minorHAnsi" w:cstheme="minorHAnsi"/>
          <w:spacing w:val="-2"/>
        </w:rPr>
        <w:t xml:space="preserve"> and</w:t>
      </w:r>
      <w:r w:rsidR="00951311" w:rsidRPr="008B7F7E">
        <w:rPr>
          <w:rFonts w:asciiTheme="minorHAnsi" w:hAnsiTheme="minorHAnsi" w:cstheme="minorHAnsi"/>
          <w:spacing w:val="-2"/>
        </w:rPr>
        <w:t xml:space="preserve"> </w:t>
      </w:r>
      <w:r w:rsidR="00170370" w:rsidRPr="008B7F7E">
        <w:rPr>
          <w:rFonts w:asciiTheme="minorHAnsi" w:hAnsiTheme="minorHAnsi" w:cstheme="minorHAnsi"/>
          <w:spacing w:val="-2"/>
        </w:rPr>
        <w:t xml:space="preserve">heads of Commonwealth </w:t>
      </w:r>
      <w:r w:rsidR="00951311" w:rsidRPr="008B7F7E">
        <w:rPr>
          <w:rFonts w:asciiTheme="minorHAnsi" w:hAnsiTheme="minorHAnsi" w:cstheme="minorHAnsi"/>
          <w:spacing w:val="-2"/>
        </w:rPr>
        <w:t>entities and companies within their portfolios</w:t>
      </w:r>
      <w:r w:rsidR="00172B55" w:rsidRPr="008B7F7E">
        <w:rPr>
          <w:rFonts w:asciiTheme="minorHAnsi" w:hAnsiTheme="minorHAnsi" w:cstheme="minorHAnsi"/>
          <w:spacing w:val="-2"/>
        </w:rPr>
        <w:t>.</w:t>
      </w:r>
    </w:p>
    <w:p w14:paraId="1B1FE747" w14:textId="77777777" w:rsidR="00F85D0E" w:rsidRPr="0040254B" w:rsidRDefault="00172B55" w:rsidP="0042096A">
      <w:pPr>
        <w:pStyle w:val="ListParagraph"/>
        <w:numPr>
          <w:ilvl w:val="0"/>
          <w:numId w:val="15"/>
        </w:numPr>
        <w:tabs>
          <w:tab w:val="left" w:pos="1418"/>
        </w:tabs>
        <w:kinsoku w:val="0"/>
        <w:overflowPunct w:val="0"/>
        <w:autoSpaceDE w:val="0"/>
        <w:autoSpaceDN w:val="0"/>
        <w:adjustRightInd w:val="0"/>
        <w:spacing w:before="120" w:after="0"/>
        <w:rPr>
          <w:rFonts w:asciiTheme="minorHAnsi" w:hAnsiTheme="minorHAnsi" w:cstheme="minorHAnsi"/>
          <w:spacing w:val="-2"/>
        </w:rPr>
      </w:pPr>
      <w:r w:rsidRPr="0040254B">
        <w:rPr>
          <w:rFonts w:asciiTheme="minorHAnsi" w:hAnsiTheme="minorHAnsi" w:cstheme="minorHAnsi"/>
          <w:spacing w:val="-2"/>
        </w:rPr>
        <w:t>To ensure consistency an</w:t>
      </w:r>
      <w:r w:rsidR="00A6385A" w:rsidRPr="0040254B">
        <w:rPr>
          <w:rFonts w:asciiTheme="minorHAnsi" w:hAnsiTheme="minorHAnsi" w:cstheme="minorHAnsi"/>
          <w:spacing w:val="-2"/>
        </w:rPr>
        <w:t>d transparency across the Common</w:t>
      </w:r>
      <w:r w:rsidRPr="0040254B">
        <w:rPr>
          <w:rFonts w:asciiTheme="minorHAnsi" w:hAnsiTheme="minorHAnsi" w:cstheme="minorHAnsi"/>
          <w:spacing w:val="-2"/>
        </w:rPr>
        <w:t xml:space="preserve">wealth, statutory office holders and heads of Commonwealth entities and companies are strongly encouraged </w:t>
      </w:r>
      <w:r w:rsidR="00DB50DF" w:rsidRPr="0040254B">
        <w:rPr>
          <w:rFonts w:asciiTheme="minorHAnsi" w:hAnsiTheme="minorHAnsi" w:cstheme="minorHAnsi"/>
          <w:spacing w:val="-2"/>
        </w:rPr>
        <w:t xml:space="preserve">to </w:t>
      </w:r>
      <w:r w:rsidR="00EF69DC" w:rsidRPr="0040254B">
        <w:rPr>
          <w:rFonts w:asciiTheme="minorHAnsi" w:hAnsiTheme="minorHAnsi" w:cstheme="minorHAnsi"/>
          <w:spacing w:val="-2"/>
        </w:rPr>
        <w:t xml:space="preserve">adopt this guidance, and </w:t>
      </w:r>
      <w:r w:rsidRPr="0040254B">
        <w:rPr>
          <w:rFonts w:asciiTheme="minorHAnsi" w:hAnsiTheme="minorHAnsi" w:cstheme="minorHAnsi"/>
          <w:spacing w:val="-2"/>
        </w:rPr>
        <w:t xml:space="preserve">mirror </w:t>
      </w:r>
      <w:r w:rsidR="00EF69DC" w:rsidRPr="0040254B">
        <w:rPr>
          <w:rFonts w:asciiTheme="minorHAnsi" w:hAnsiTheme="minorHAnsi" w:cstheme="minorHAnsi"/>
          <w:spacing w:val="-2"/>
        </w:rPr>
        <w:t>these arrangements,</w:t>
      </w:r>
      <w:r w:rsidRPr="0040254B">
        <w:rPr>
          <w:rFonts w:asciiTheme="minorHAnsi" w:hAnsiTheme="minorHAnsi" w:cstheme="minorHAnsi"/>
          <w:spacing w:val="-2"/>
        </w:rPr>
        <w:t xml:space="preserve"> as best practice</w:t>
      </w:r>
      <w:r w:rsidR="00170370" w:rsidRPr="0040254B">
        <w:rPr>
          <w:rFonts w:asciiTheme="minorHAnsi" w:hAnsiTheme="minorHAnsi" w:cstheme="minorHAnsi"/>
          <w:spacing w:val="-2"/>
        </w:rPr>
        <w:t>.</w:t>
      </w:r>
      <w:r w:rsidRPr="0040254B">
        <w:rPr>
          <w:rFonts w:asciiTheme="minorHAnsi" w:hAnsiTheme="minorHAnsi" w:cstheme="minorHAnsi"/>
          <w:spacing w:val="-2"/>
        </w:rPr>
        <w:t xml:space="preserve"> </w:t>
      </w:r>
    </w:p>
    <w:p w14:paraId="31F86257" w14:textId="77777777" w:rsidR="00A03637" w:rsidRDefault="00A03637" w:rsidP="0040254B">
      <w:pPr>
        <w:tabs>
          <w:tab w:val="left" w:pos="1418"/>
        </w:tabs>
        <w:kinsoku w:val="0"/>
        <w:overflowPunct w:val="0"/>
        <w:autoSpaceDE w:val="0"/>
        <w:autoSpaceDN w:val="0"/>
        <w:adjustRightInd w:val="0"/>
        <w:spacing w:before="120" w:after="0"/>
        <w:rPr>
          <w:rFonts w:asciiTheme="minorHAnsi" w:hAnsiTheme="minorHAnsi" w:cstheme="minorHAnsi"/>
          <w:spacing w:val="-2"/>
        </w:rPr>
      </w:pPr>
    </w:p>
    <w:p w14:paraId="02E18F42" w14:textId="3E6F129B" w:rsidR="00300228" w:rsidRPr="0040254B" w:rsidRDefault="00300228" w:rsidP="0042096A">
      <w:pPr>
        <w:pStyle w:val="ListParagraph"/>
        <w:numPr>
          <w:ilvl w:val="0"/>
          <w:numId w:val="15"/>
        </w:numPr>
        <w:tabs>
          <w:tab w:val="left" w:pos="1418"/>
        </w:tabs>
        <w:kinsoku w:val="0"/>
        <w:overflowPunct w:val="0"/>
        <w:autoSpaceDE w:val="0"/>
        <w:autoSpaceDN w:val="0"/>
        <w:adjustRightInd w:val="0"/>
        <w:spacing w:before="120" w:after="0"/>
        <w:ind w:left="714" w:hanging="357"/>
        <w:contextualSpacing w:val="0"/>
        <w:rPr>
          <w:rFonts w:asciiTheme="minorHAnsi" w:hAnsiTheme="minorHAnsi" w:cstheme="minorHAnsi"/>
          <w:spacing w:val="-2"/>
        </w:rPr>
      </w:pPr>
      <w:r w:rsidRPr="0040254B">
        <w:rPr>
          <w:rFonts w:asciiTheme="minorHAnsi" w:hAnsiTheme="minorHAnsi" w:cstheme="minorHAnsi"/>
          <w:spacing w:val="-2"/>
        </w:rPr>
        <w:lastRenderedPageBreak/>
        <w:t>Although not a requirement under this guidance, t</w:t>
      </w:r>
      <w:r w:rsidR="00A03637" w:rsidRPr="0040254B">
        <w:rPr>
          <w:rFonts w:asciiTheme="minorHAnsi" w:hAnsiTheme="minorHAnsi" w:cstheme="minorHAnsi"/>
          <w:spacing w:val="-2"/>
        </w:rPr>
        <w:t>here is a strong expectation that agency heads will also publish gifts and benefits received by staff in their agency that exceed the threshold of $AUD100.00 (excluding GST).</w:t>
      </w:r>
    </w:p>
    <w:p w14:paraId="224185BC" w14:textId="497405F0" w:rsidR="00300228" w:rsidRPr="0040254B" w:rsidRDefault="00300228" w:rsidP="0042096A">
      <w:pPr>
        <w:pStyle w:val="ListParagraph"/>
        <w:numPr>
          <w:ilvl w:val="0"/>
          <w:numId w:val="15"/>
        </w:numPr>
        <w:tabs>
          <w:tab w:val="left" w:pos="1418"/>
        </w:tabs>
        <w:kinsoku w:val="0"/>
        <w:overflowPunct w:val="0"/>
        <w:autoSpaceDE w:val="0"/>
        <w:autoSpaceDN w:val="0"/>
        <w:adjustRightInd w:val="0"/>
        <w:spacing w:before="120" w:after="0"/>
        <w:ind w:left="714" w:hanging="357"/>
        <w:contextualSpacing w:val="0"/>
        <w:rPr>
          <w:rFonts w:asciiTheme="minorHAnsi" w:hAnsiTheme="minorHAnsi" w:cstheme="minorHAnsi"/>
          <w:spacing w:val="-2"/>
        </w:rPr>
      </w:pPr>
      <w:r w:rsidRPr="0040254B">
        <w:rPr>
          <w:rFonts w:asciiTheme="minorHAnsi" w:hAnsiTheme="minorHAnsi" w:cstheme="minorHAnsi"/>
          <w:spacing w:val="-2"/>
        </w:rPr>
        <w:t>Agencies may choose, in particular, to require</w:t>
      </w:r>
      <w:r w:rsidR="00BE2486" w:rsidRPr="0040254B">
        <w:rPr>
          <w:rFonts w:asciiTheme="minorHAnsi" w:hAnsiTheme="minorHAnsi" w:cstheme="minorHAnsi"/>
          <w:spacing w:val="-2"/>
        </w:rPr>
        <w:t xml:space="preserve"> some o</w:t>
      </w:r>
      <w:r w:rsidR="00F6053E" w:rsidRPr="0040254B">
        <w:rPr>
          <w:rFonts w:asciiTheme="minorHAnsi" w:hAnsiTheme="minorHAnsi" w:cstheme="minorHAnsi"/>
          <w:spacing w:val="-2"/>
        </w:rPr>
        <w:t>r</w:t>
      </w:r>
      <w:r w:rsidR="00BE2486" w:rsidRPr="0040254B">
        <w:rPr>
          <w:rFonts w:asciiTheme="minorHAnsi" w:hAnsiTheme="minorHAnsi" w:cstheme="minorHAnsi"/>
          <w:spacing w:val="-2"/>
        </w:rPr>
        <w:t xml:space="preserve"> all</w:t>
      </w:r>
      <w:r w:rsidRPr="0040254B">
        <w:rPr>
          <w:rFonts w:asciiTheme="minorHAnsi" w:hAnsiTheme="minorHAnsi" w:cstheme="minorHAnsi"/>
          <w:spacing w:val="-2"/>
        </w:rPr>
        <w:t xml:space="preserve"> employees to </w:t>
      </w:r>
      <w:r w:rsidR="00BE2486" w:rsidRPr="0040254B">
        <w:rPr>
          <w:rFonts w:asciiTheme="minorHAnsi" w:hAnsiTheme="minorHAnsi" w:cstheme="minorHAnsi"/>
          <w:spacing w:val="-2"/>
        </w:rPr>
        <w:t xml:space="preserve">declare </w:t>
      </w:r>
      <w:r w:rsidRPr="0040254B">
        <w:rPr>
          <w:rFonts w:asciiTheme="minorHAnsi" w:hAnsiTheme="minorHAnsi" w:cstheme="minorHAnsi"/>
          <w:spacing w:val="-2"/>
        </w:rPr>
        <w:t>gifts and benefits received</w:t>
      </w:r>
      <w:r w:rsidR="00CC38DA" w:rsidRPr="0040254B">
        <w:rPr>
          <w:rFonts w:asciiTheme="minorHAnsi" w:hAnsiTheme="minorHAnsi" w:cstheme="minorHAnsi"/>
          <w:spacing w:val="-2"/>
        </w:rPr>
        <w:t xml:space="preserve"> over this threshold</w:t>
      </w:r>
      <w:r w:rsidRPr="0040254B">
        <w:rPr>
          <w:rFonts w:asciiTheme="minorHAnsi" w:hAnsiTheme="minorHAnsi" w:cstheme="minorHAnsi"/>
          <w:spacing w:val="-2"/>
        </w:rPr>
        <w:t xml:space="preserve">. </w:t>
      </w:r>
      <w:r w:rsidR="00BE2486" w:rsidRPr="0040254B">
        <w:rPr>
          <w:rFonts w:asciiTheme="minorHAnsi" w:hAnsiTheme="minorHAnsi" w:cstheme="minorHAnsi"/>
          <w:spacing w:val="-2"/>
        </w:rPr>
        <w:t>Consideration may be given to requiring declaration from employees engaged in the following a</w:t>
      </w:r>
      <w:r w:rsidRPr="0040254B">
        <w:rPr>
          <w:rFonts w:asciiTheme="minorHAnsi" w:hAnsiTheme="minorHAnsi" w:cstheme="minorHAnsi"/>
          <w:spacing w:val="-2"/>
        </w:rPr>
        <w:t>ctivities:</w:t>
      </w:r>
    </w:p>
    <w:p w14:paraId="46B43DF6" w14:textId="6CD61103"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procurement and recruitment</w:t>
      </w:r>
      <w:r w:rsidR="00767348">
        <w:t>;</w:t>
      </w:r>
    </w:p>
    <w:p w14:paraId="0BB9EDD9" w14:textId="7C16E62B"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regulating individual or business activities</w:t>
      </w:r>
      <w:r w:rsidR="00767348">
        <w:t>;</w:t>
      </w:r>
    </w:p>
    <w:p w14:paraId="76E64B63" w14:textId="41D21A10" w:rsidR="00300228" w:rsidRPr="008B7F7E"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distributing goods, services or funds</w:t>
      </w:r>
      <w:r w:rsidR="00767348">
        <w:t>; and</w:t>
      </w:r>
    </w:p>
    <w:p w14:paraId="4BC5AA12" w14:textId="6FF9B060" w:rsidR="00A03637" w:rsidRPr="0040254B" w:rsidRDefault="00300228" w:rsidP="00AF2583">
      <w:pPr>
        <w:pStyle w:val="ListParagraph"/>
        <w:numPr>
          <w:ilvl w:val="0"/>
          <w:numId w:val="13"/>
        </w:numPr>
        <w:tabs>
          <w:tab w:val="left" w:pos="1418"/>
        </w:tabs>
        <w:kinsoku w:val="0"/>
        <w:overflowPunct w:val="0"/>
        <w:autoSpaceDE w:val="0"/>
        <w:autoSpaceDN w:val="0"/>
        <w:adjustRightInd w:val="0"/>
        <w:ind w:left="1077" w:hanging="357"/>
        <w:contextualSpacing w:val="0"/>
      </w:pPr>
      <w:r w:rsidRPr="008B7F7E">
        <w:t>making binding decisions</w:t>
      </w:r>
      <w:r>
        <w:t>.</w:t>
      </w:r>
    </w:p>
    <w:p w14:paraId="010153A1" w14:textId="607717A2" w:rsidR="0094154C" w:rsidRDefault="00A03637" w:rsidP="00F212E5">
      <w:pPr>
        <w:pStyle w:val="Heading3"/>
      </w:pPr>
      <w:r w:rsidRPr="00A03637">
        <w:t>What gifts and benefits need to</w:t>
      </w:r>
      <w:r w:rsidR="00300228">
        <w:t xml:space="preserve"> be</w:t>
      </w:r>
      <w:r w:rsidRPr="00A03637">
        <w:t xml:space="preserve"> declare</w:t>
      </w:r>
      <w:r w:rsidR="00300228">
        <w:t>d</w:t>
      </w:r>
      <w:r w:rsidRPr="00A03637">
        <w:t>?</w:t>
      </w:r>
    </w:p>
    <w:p w14:paraId="219FD71C" w14:textId="335A9154" w:rsidR="00D366A9" w:rsidRDefault="0094154C" w:rsidP="0042096A">
      <w:pPr>
        <w:pStyle w:val="Bodyoftext"/>
        <w:numPr>
          <w:ilvl w:val="0"/>
          <w:numId w:val="15"/>
        </w:numPr>
        <w:spacing w:before="120" w:after="0"/>
      </w:pPr>
      <w:r>
        <w:t xml:space="preserve">A gift or benefit is any item or service accepted by an agency head from clients, customers (including potential clients or customers) or other associates of an agency head in the course of their official duties. This includes any service or item received by the family of an agency head, where there is a clear link with the agency head’s official duties. </w:t>
      </w:r>
    </w:p>
    <w:p w14:paraId="47D5D01F" w14:textId="2C50E92C" w:rsidR="00D366A9" w:rsidRDefault="0094154C" w:rsidP="0042096A">
      <w:pPr>
        <w:pStyle w:val="Bodyoftext"/>
        <w:numPr>
          <w:ilvl w:val="0"/>
          <w:numId w:val="15"/>
        </w:numPr>
        <w:spacing w:before="120" w:after="0"/>
      </w:pPr>
      <w:r>
        <w:t xml:space="preserve">Examples include </w:t>
      </w:r>
      <w:r w:rsidR="0000196B">
        <w:t>tangible gifts</w:t>
      </w:r>
      <w:r>
        <w:t>, free or discounted travel or accommodation, entertainment, hospitality (</w:t>
      </w:r>
      <w:r w:rsidR="00E275CA">
        <w:t>see</w:t>
      </w:r>
      <w:r>
        <w:t xml:space="preserve"> ‘</w:t>
      </w:r>
      <w:r w:rsidR="00F974E8">
        <w:t>Receipt of Hospitality</w:t>
      </w:r>
      <w:r>
        <w:t>’</w:t>
      </w:r>
      <w:r w:rsidR="00E275CA">
        <w:t xml:space="preserve"> section</w:t>
      </w:r>
      <w:r>
        <w:t xml:space="preserve">), discounts or other preferential treatment. </w:t>
      </w:r>
    </w:p>
    <w:p w14:paraId="7B27B50B" w14:textId="7CD780F0" w:rsidR="00D366A9" w:rsidRDefault="0094154C" w:rsidP="0042096A">
      <w:pPr>
        <w:pStyle w:val="Bodyoftext"/>
        <w:numPr>
          <w:ilvl w:val="0"/>
          <w:numId w:val="15"/>
        </w:numPr>
        <w:spacing w:before="120" w:after="0"/>
      </w:pPr>
      <w:r>
        <w:t xml:space="preserve">Gifts can also include lucky door prizes or other prizes offered by conference sponsors when an agency head is attending on behalf of the Commonwealth. </w:t>
      </w:r>
    </w:p>
    <w:p w14:paraId="28E76C24" w14:textId="3B7EC1D7" w:rsidR="00D366A9" w:rsidRDefault="0094154C" w:rsidP="0042096A">
      <w:pPr>
        <w:pStyle w:val="ListParagraph"/>
        <w:numPr>
          <w:ilvl w:val="0"/>
          <w:numId w:val="15"/>
        </w:numPr>
        <w:spacing w:before="120" w:after="0"/>
        <w:contextualSpacing w:val="0"/>
      </w:pPr>
      <w:r>
        <w:t>Any gift or benefit received with a value of more than $AUD100.00 (excluding GST) must be published in accordance with this guidance.</w:t>
      </w:r>
      <w:r w:rsidR="00BC60CD">
        <w:t xml:space="preserve"> </w:t>
      </w:r>
      <w:r>
        <w:t xml:space="preserve">Agency heads will otherwise comply with all internal policies in </w:t>
      </w:r>
      <w:r w:rsidR="00F974E8">
        <w:t>relation to gifts and benefits.</w:t>
      </w:r>
    </w:p>
    <w:p w14:paraId="2DD13075" w14:textId="5CAD49AA" w:rsidR="00F974E8" w:rsidRDefault="0094154C" w:rsidP="0042096A">
      <w:pPr>
        <w:pStyle w:val="ListParagraph"/>
        <w:numPr>
          <w:ilvl w:val="0"/>
          <w:numId w:val="15"/>
        </w:numPr>
        <w:spacing w:before="120" w:after="0"/>
        <w:contextualSpacing w:val="0"/>
      </w:pPr>
      <w:r>
        <w:t>Gifts received which are valued at $AUD100.00 (excluding GST) or less are to be dealt with in accordance with the agency’s policies.</w:t>
      </w:r>
    </w:p>
    <w:p w14:paraId="4D3CB98B" w14:textId="77777777" w:rsidR="0094154C" w:rsidRDefault="0094154C" w:rsidP="0042096A">
      <w:pPr>
        <w:pStyle w:val="ListParagraph"/>
        <w:numPr>
          <w:ilvl w:val="0"/>
          <w:numId w:val="15"/>
        </w:numPr>
        <w:spacing w:before="120" w:after="0"/>
        <w:contextualSpacing w:val="0"/>
      </w:pPr>
      <w:r>
        <w:t>For the purposes of this guidance, the value of an official gift is assessed on the basis of the:</w:t>
      </w:r>
    </w:p>
    <w:p w14:paraId="2DA6D673" w14:textId="427C78CB" w:rsidR="0094154C" w:rsidRDefault="0094154C"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wholesale (tax free) value in the country of origin of the donor of the gift and converted to Australian dollars at the current exchange rate; or</w:t>
      </w:r>
    </w:p>
    <w:p w14:paraId="178E6435" w14:textId="71BB450E" w:rsidR="0094154C" w:rsidRDefault="0094154C"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current market value of the gift in Australia (excluding GST).</w:t>
      </w:r>
    </w:p>
    <w:p w14:paraId="3CBDAE50" w14:textId="03C35811" w:rsidR="00D366A9" w:rsidRDefault="0094154C" w:rsidP="0042096A">
      <w:pPr>
        <w:pStyle w:val="ListParagraph"/>
        <w:numPr>
          <w:ilvl w:val="0"/>
          <w:numId w:val="15"/>
        </w:numPr>
        <w:spacing w:before="120" w:after="0"/>
        <w:contextualSpacing w:val="0"/>
      </w:pPr>
      <w:r>
        <w:t>Where recording the estimated value of the gift or benefit may cause offence, the dollar figure is not required to be recorded.</w:t>
      </w:r>
    </w:p>
    <w:p w14:paraId="53D5099B" w14:textId="77777777" w:rsidR="0094154C" w:rsidRDefault="0094154C" w:rsidP="0042096A">
      <w:pPr>
        <w:pStyle w:val="ListParagraph"/>
        <w:numPr>
          <w:ilvl w:val="0"/>
          <w:numId w:val="15"/>
        </w:numPr>
        <w:spacing w:before="120" w:after="0"/>
        <w:contextualSpacing w:val="0"/>
      </w:pPr>
      <w:r>
        <w:t xml:space="preserve">Where multiple gifts or benefits from the same party may fall below the threshold but together total a value of more than $AUD100.00 (excluding GST), consideration should be given to recording those gifts or benefits on the register. </w:t>
      </w:r>
    </w:p>
    <w:p w14:paraId="69DFB168" w14:textId="77777777" w:rsidR="000153CE" w:rsidRDefault="000153CE">
      <w:pPr>
        <w:spacing w:after="200" w:line="276" w:lineRule="auto"/>
        <w:rPr>
          <w:rFonts w:eastAsia="Batang" w:cs="Arial"/>
          <w:b/>
          <w:bCs/>
          <w:sz w:val="24"/>
          <w:szCs w:val="32"/>
        </w:rPr>
      </w:pPr>
      <w:r>
        <w:br w:type="page"/>
      </w:r>
    </w:p>
    <w:p w14:paraId="21E1060F" w14:textId="3376A689" w:rsidR="00D366A9" w:rsidRDefault="00BC60CD" w:rsidP="00F212E5">
      <w:pPr>
        <w:pStyle w:val="Heading4"/>
        <w:spacing w:before="240"/>
      </w:pPr>
      <w:r>
        <w:lastRenderedPageBreak/>
        <w:t>What gifts and benefits do</w:t>
      </w:r>
      <w:r w:rsidR="00BE2486">
        <w:t xml:space="preserve"> </w:t>
      </w:r>
      <w:r w:rsidRPr="00BA60F2">
        <w:rPr>
          <w:u w:val="single"/>
        </w:rPr>
        <w:t>n</w:t>
      </w:r>
      <w:r w:rsidR="00BE2486" w:rsidRPr="00BA60F2">
        <w:rPr>
          <w:u w:val="single"/>
        </w:rPr>
        <w:t>o</w:t>
      </w:r>
      <w:r w:rsidRPr="00BA60F2">
        <w:rPr>
          <w:u w:val="single"/>
        </w:rPr>
        <w:t>t</w:t>
      </w:r>
      <w:r>
        <w:t xml:space="preserve"> need to be declared?</w:t>
      </w:r>
    </w:p>
    <w:p w14:paraId="50B22B30" w14:textId="7BA47025" w:rsidR="00BC60CD" w:rsidRDefault="00BC60CD" w:rsidP="0042096A">
      <w:pPr>
        <w:pStyle w:val="Bodyoftext"/>
        <w:numPr>
          <w:ilvl w:val="0"/>
          <w:numId w:val="15"/>
        </w:numPr>
        <w:spacing w:before="120" w:after="0"/>
      </w:pPr>
      <w:r>
        <w:t xml:space="preserve">Agency heads, like all APS employees, </w:t>
      </w:r>
      <w:r w:rsidR="00A37690">
        <w:t xml:space="preserve">routinely </w:t>
      </w:r>
      <w:r>
        <w:t>receive gifts and benefits that are</w:t>
      </w:r>
      <w:r w:rsidR="00E538EF">
        <w:t xml:space="preserve"> </w:t>
      </w:r>
      <w:r>
        <w:t>n</w:t>
      </w:r>
      <w:r w:rsidR="00E538EF">
        <w:t>o</w:t>
      </w:r>
      <w:r>
        <w:t>t related to their public duties</w:t>
      </w:r>
      <w:r w:rsidRPr="00BC60CD">
        <w:t xml:space="preserve">. </w:t>
      </w:r>
      <w:r w:rsidR="004152DD">
        <w:t>This guidance does not require declaration of the</w:t>
      </w:r>
      <w:r w:rsidR="00EF4B40">
        <w:t xml:space="preserve"> following gifts and benefits: </w:t>
      </w:r>
    </w:p>
    <w:p w14:paraId="5E2FC40D" w14:textId="77777777" w:rsidR="00BC60CD" w:rsidRDefault="00EF4B4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that are </w:t>
      </w:r>
      <w:r w:rsidR="00BC60CD">
        <w:t>not accepted;</w:t>
      </w:r>
    </w:p>
    <w:p w14:paraId="69810AF9" w14:textId="77777777" w:rsidR="00BC60CD" w:rsidRDefault="00EF4B40"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that are </w:t>
      </w:r>
      <w:r w:rsidR="00BC60CD">
        <w:t>made in a will;</w:t>
      </w:r>
    </w:p>
    <w:p w14:paraId="168EF403" w14:textId="77777777" w:rsidR="00BC60C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w:t>
      </w:r>
      <w:r w:rsidR="00BC60CD">
        <w:t>to or from a relative, friend or acquaintance outside of the course of official duties (i.e. in a purely personal capacity) and which do not give rise to or create the appearance of a conflict of interest; and</w:t>
      </w:r>
    </w:p>
    <w:p w14:paraId="2F424A99" w14:textId="3A998DDB" w:rsidR="00001BE5" w:rsidRDefault="00E538EF"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gifts and benefits </w:t>
      </w:r>
      <w:r w:rsidR="00BC60CD">
        <w:t>that form part of an approved assistance program</w:t>
      </w:r>
      <w:r>
        <w:t>,</w:t>
      </w:r>
      <w:r w:rsidR="00BC60CD">
        <w:t xml:space="preserve"> such a</w:t>
      </w:r>
      <w:r w:rsidR="00F974E8">
        <w:t>s a disaster relief arrangement.</w:t>
      </w:r>
    </w:p>
    <w:p w14:paraId="07998E51" w14:textId="687CD547" w:rsidR="004152DD" w:rsidRDefault="004152DD" w:rsidP="00F212E5">
      <w:pPr>
        <w:pStyle w:val="Heading3"/>
      </w:pPr>
      <w:r>
        <w:t>Can certain gifts and benefits</w:t>
      </w:r>
      <w:r w:rsidR="00300228">
        <w:t xml:space="preserve"> be accepted</w:t>
      </w:r>
      <w:r>
        <w:t>?</w:t>
      </w:r>
    </w:p>
    <w:p w14:paraId="44F92112" w14:textId="28D5AAA1" w:rsidR="00F974E8" w:rsidRDefault="004152DD" w:rsidP="0042096A">
      <w:pPr>
        <w:pStyle w:val="Bodyoftext"/>
        <w:numPr>
          <w:ilvl w:val="0"/>
          <w:numId w:val="15"/>
        </w:numPr>
        <w:spacing w:before="120" w:after="0"/>
      </w:pPr>
      <w:r>
        <w:t xml:space="preserve">In determining whether a gift or benefit should be accepted, the agency head should take into account a range of factors, including the type and significance of the gift or benefit, whether it gives rise to a real or </w:t>
      </w:r>
      <w:r w:rsidR="00F60CF9">
        <w:t xml:space="preserve">apparent </w:t>
      </w:r>
      <w:r>
        <w:t>conflict of interest</w:t>
      </w:r>
      <w:r w:rsidR="00F974E8">
        <w:t xml:space="preserve">, </w:t>
      </w:r>
      <w:r>
        <w:t>and whether it is part of an exchange of gifts between official representatives of governments.</w:t>
      </w:r>
    </w:p>
    <w:p w14:paraId="247689D4" w14:textId="77777777" w:rsidR="004152DD" w:rsidRDefault="004152DD" w:rsidP="0042096A">
      <w:pPr>
        <w:pStyle w:val="Bodyoftext"/>
        <w:numPr>
          <w:ilvl w:val="0"/>
          <w:numId w:val="15"/>
        </w:numPr>
        <w:spacing w:before="120" w:after="0"/>
      </w:pPr>
      <w:r>
        <w:t xml:space="preserve">Where the agency head determines that to refuse a gift or benefit would cause embarrassment or offence, the agency head may </w:t>
      </w:r>
      <w:r w:rsidR="005C713C">
        <w:t xml:space="preserve">deal with </w:t>
      </w:r>
      <w:r>
        <w:t xml:space="preserve">the gift in </w:t>
      </w:r>
      <w:r w:rsidR="00B011F5">
        <w:t xml:space="preserve">one of the </w:t>
      </w:r>
      <w:r>
        <w:t>following</w:t>
      </w:r>
      <w:r w:rsidR="00B011F5">
        <w:t xml:space="preserve"> ways</w:t>
      </w:r>
      <w:r>
        <w:t xml:space="preserve">: </w:t>
      </w:r>
    </w:p>
    <w:p w14:paraId="72925F22" w14:textId="7777777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 xml:space="preserve">the gift remaining on the property of the Commonwealth or agency (for example, on public display); </w:t>
      </w:r>
    </w:p>
    <w:p w14:paraId="74588260" w14:textId="7777777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donate the gift to the Social Club for a raffle or social function;</w:t>
      </w:r>
    </w:p>
    <w:p w14:paraId="028E93CA" w14:textId="2B45E7D8"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otherwise donate the gift to a public or private organisation;</w:t>
      </w:r>
      <w:r w:rsidR="00767348">
        <w:t xml:space="preserve"> or</w:t>
      </w:r>
    </w:p>
    <w:p w14:paraId="4D993B02" w14:textId="7D1AE527" w:rsidR="004152DD" w:rsidRDefault="004152DD" w:rsidP="00AF2583">
      <w:pPr>
        <w:pStyle w:val="ListParagraph"/>
        <w:numPr>
          <w:ilvl w:val="0"/>
          <w:numId w:val="13"/>
        </w:numPr>
        <w:tabs>
          <w:tab w:val="left" w:pos="1418"/>
        </w:tabs>
        <w:kinsoku w:val="0"/>
        <w:overflowPunct w:val="0"/>
        <w:autoSpaceDE w:val="0"/>
        <w:autoSpaceDN w:val="0"/>
        <w:adjustRightInd w:val="0"/>
        <w:ind w:left="1077" w:hanging="357"/>
        <w:contextualSpacing w:val="0"/>
      </w:pPr>
      <w:r>
        <w:t>dispose of the gift in an alternative way that would not offend the giver.</w:t>
      </w:r>
    </w:p>
    <w:p w14:paraId="754C0EC4" w14:textId="1E9C42FB" w:rsidR="004152DD" w:rsidRDefault="004152DD" w:rsidP="0042096A">
      <w:pPr>
        <w:pStyle w:val="Bodyoftext"/>
        <w:numPr>
          <w:ilvl w:val="0"/>
          <w:numId w:val="15"/>
        </w:numPr>
        <w:spacing w:before="120" w:after="0"/>
      </w:pPr>
      <w:r>
        <w:t>Any gift of property owned by the Commonwealth must be made in accordance with the PGPA A</w:t>
      </w:r>
      <w:r w:rsidR="0079586A">
        <w:t>ct or any other relevant agency-</w:t>
      </w:r>
      <w:r>
        <w:t xml:space="preserve">specific policy. </w:t>
      </w:r>
    </w:p>
    <w:p w14:paraId="75A1FD59" w14:textId="5B5C145C" w:rsidR="004152DD" w:rsidRDefault="004152DD" w:rsidP="00F212E5">
      <w:pPr>
        <w:pStyle w:val="Heading3"/>
      </w:pPr>
      <w:r>
        <w:t>Receipt of hospitality</w:t>
      </w:r>
    </w:p>
    <w:p w14:paraId="1377F322" w14:textId="2FA0FC45" w:rsidR="00D366A9" w:rsidRDefault="004152DD" w:rsidP="0042096A">
      <w:pPr>
        <w:pStyle w:val="Bodyoftext"/>
        <w:numPr>
          <w:ilvl w:val="0"/>
          <w:numId w:val="15"/>
        </w:numPr>
        <w:spacing w:before="120" w:after="0"/>
      </w:pPr>
      <w:r>
        <w:t xml:space="preserve">Hospitality can be accepted if it is in accordance with the agency head’s official duties. </w:t>
      </w:r>
    </w:p>
    <w:p w14:paraId="31272C2F" w14:textId="22D8EA64" w:rsidR="00303580" w:rsidRPr="0040254B" w:rsidRDefault="0040254B" w:rsidP="0042096A">
      <w:pPr>
        <w:pStyle w:val="Bodyoftext"/>
        <w:numPr>
          <w:ilvl w:val="0"/>
          <w:numId w:val="15"/>
        </w:numPr>
        <w:spacing w:before="120" w:after="0"/>
      </w:pPr>
      <w:r w:rsidRPr="0040254B">
        <w:t>Hospitality exceeding the value of $AUD100.00 (excluding GST) that has been accepted and may give rise to a real o</w:t>
      </w:r>
      <w:r w:rsidR="000D33C8">
        <w:t>r apparent conflict of interest</w:t>
      </w:r>
      <w:bookmarkStart w:id="0" w:name="_GoBack"/>
      <w:bookmarkEnd w:id="0"/>
      <w:r w:rsidRPr="0040254B">
        <w:t xml:space="preserve"> must be recorded in the register.</w:t>
      </w:r>
    </w:p>
    <w:p w14:paraId="44832914" w14:textId="3F123046" w:rsidR="00F91817" w:rsidRDefault="00A67EC7" w:rsidP="00F212E5">
      <w:pPr>
        <w:pStyle w:val="Heading3"/>
      </w:pPr>
      <w:r>
        <w:t xml:space="preserve">How </w:t>
      </w:r>
      <w:r w:rsidR="00300228">
        <w:t xml:space="preserve">to publish accepted </w:t>
      </w:r>
      <w:r>
        <w:t>gifts and benefits</w:t>
      </w:r>
    </w:p>
    <w:p w14:paraId="76CBB629" w14:textId="3AA4984D" w:rsidR="00CC38DA" w:rsidRPr="0040254B" w:rsidRDefault="00A67EC7" w:rsidP="0042096A">
      <w:pPr>
        <w:pStyle w:val="ListParagraph"/>
        <w:numPr>
          <w:ilvl w:val="0"/>
          <w:numId w:val="15"/>
        </w:numPr>
        <w:tabs>
          <w:tab w:val="left" w:pos="1418"/>
        </w:tabs>
        <w:kinsoku w:val="0"/>
        <w:overflowPunct w:val="0"/>
        <w:autoSpaceDE w:val="0"/>
        <w:autoSpaceDN w:val="0"/>
        <w:adjustRightInd w:val="0"/>
        <w:spacing w:before="120" w:after="0"/>
        <w:rPr>
          <w:rFonts w:asciiTheme="minorHAnsi" w:hAnsiTheme="minorHAnsi" w:cstheme="minorHAnsi"/>
          <w:spacing w:val="-2"/>
        </w:rPr>
      </w:pPr>
      <w:r w:rsidRPr="0040254B">
        <w:rPr>
          <w:rFonts w:asciiTheme="minorHAnsi" w:hAnsiTheme="minorHAnsi" w:cstheme="minorHAnsi"/>
          <w:spacing w:val="-2"/>
        </w:rPr>
        <w:t xml:space="preserve">Agency heads will create and </w:t>
      </w:r>
      <w:r w:rsidR="00687A7C" w:rsidRPr="0040254B">
        <w:rPr>
          <w:rFonts w:asciiTheme="minorHAnsi" w:hAnsiTheme="minorHAnsi" w:cstheme="minorHAnsi"/>
          <w:spacing w:val="-2"/>
        </w:rPr>
        <w:t>maintain</w:t>
      </w:r>
      <w:r w:rsidRPr="0040254B">
        <w:rPr>
          <w:rFonts w:asciiTheme="minorHAnsi" w:hAnsiTheme="minorHAnsi" w:cstheme="minorHAnsi"/>
          <w:spacing w:val="-2"/>
        </w:rPr>
        <w:t xml:space="preserve"> a register of gifts and benefits accepted. See </w:t>
      </w:r>
      <w:r w:rsidR="00610414" w:rsidRPr="0040254B">
        <w:rPr>
          <w:rFonts w:asciiTheme="minorHAnsi" w:hAnsiTheme="minorHAnsi" w:cstheme="minorHAnsi"/>
          <w:spacing w:val="-2"/>
        </w:rPr>
        <w:t>below</w:t>
      </w:r>
      <w:r w:rsidRPr="0040254B">
        <w:rPr>
          <w:rFonts w:asciiTheme="minorHAnsi" w:hAnsiTheme="minorHAnsi" w:cstheme="minorHAnsi"/>
          <w:spacing w:val="-2"/>
        </w:rPr>
        <w:t xml:space="preserve"> for a suggested template.</w:t>
      </w:r>
    </w:p>
    <w:p w14:paraId="4CBE7E45" w14:textId="77777777" w:rsidR="00610414" w:rsidRDefault="00610414" w:rsidP="00610414">
      <w:pPr>
        <w:spacing w:after="0" w:line="240" w:lineRule="auto"/>
        <w:rPr>
          <w:b/>
        </w:rPr>
      </w:pPr>
    </w:p>
    <w:p w14:paraId="59AE4F5B" w14:textId="2FB3A206" w:rsidR="00610414" w:rsidRPr="00BC1E5A" w:rsidRDefault="00610414" w:rsidP="00610414">
      <w:pPr>
        <w:spacing w:after="0" w:line="240" w:lineRule="auto"/>
        <w:rPr>
          <w:b/>
        </w:rPr>
      </w:pPr>
      <w:r w:rsidRPr="00BC1E5A">
        <w:rPr>
          <w:b/>
        </w:rPr>
        <w:t>Register Template</w:t>
      </w:r>
    </w:p>
    <w:p w14:paraId="0F2741CF" w14:textId="77777777" w:rsidR="00610414" w:rsidRPr="003A70A8" w:rsidRDefault="00610414" w:rsidP="00610414">
      <w:pPr>
        <w:spacing w:after="0" w:line="240" w:lineRule="auto"/>
        <w:jc w:val="right"/>
      </w:pPr>
    </w:p>
    <w:p w14:paraId="70145D51" w14:textId="77777777" w:rsidR="00610414" w:rsidRPr="00BA60F2" w:rsidRDefault="00610414" w:rsidP="0040254B">
      <w:pPr>
        <w:spacing w:after="0"/>
        <w:rPr>
          <w:i/>
        </w:rPr>
      </w:pPr>
      <w:r w:rsidRPr="00BA60F2">
        <w:rPr>
          <w:i/>
        </w:rPr>
        <w:t xml:space="preserve">In the course of my duties as agency head of </w:t>
      </w:r>
      <w:r w:rsidRPr="00BA60F2">
        <w:rPr>
          <w:b/>
          <w:i/>
        </w:rPr>
        <w:t>[insert agency name],</w:t>
      </w:r>
      <w:r w:rsidRPr="00BA60F2">
        <w:rPr>
          <w:i/>
        </w:rPr>
        <w:t xml:space="preserve"> I received the following gifts and/or benefits whose value exceeds the stipulated threshold of $AUD100.00 (excluding GST). </w:t>
      </w:r>
    </w:p>
    <w:p w14:paraId="584CD254" w14:textId="77777777" w:rsidR="00610414" w:rsidRPr="00BA60F2" w:rsidRDefault="00610414" w:rsidP="00610414">
      <w:pPr>
        <w:spacing w:after="0" w:line="240" w:lineRule="auto"/>
        <w:rPr>
          <w:i/>
        </w:rPr>
      </w:pPr>
    </w:p>
    <w:tbl>
      <w:tblPr>
        <w:tblStyle w:val="TableGrid"/>
        <w:tblW w:w="10201" w:type="dxa"/>
        <w:tblLook w:val="04A0" w:firstRow="1" w:lastRow="0" w:firstColumn="1" w:lastColumn="0" w:noHBand="0" w:noVBand="1"/>
      </w:tblPr>
      <w:tblGrid>
        <w:gridCol w:w="1141"/>
        <w:gridCol w:w="1043"/>
        <w:gridCol w:w="1333"/>
        <w:gridCol w:w="1168"/>
        <w:gridCol w:w="1923"/>
        <w:gridCol w:w="1751"/>
        <w:gridCol w:w="1842"/>
      </w:tblGrid>
      <w:tr w:rsidR="00610414" w:rsidRPr="00BA60F2" w14:paraId="12E15F54" w14:textId="77777777" w:rsidTr="00357FCD">
        <w:tc>
          <w:tcPr>
            <w:tcW w:w="1141" w:type="dxa"/>
          </w:tcPr>
          <w:p w14:paraId="162DBB8E" w14:textId="77777777" w:rsidR="00610414" w:rsidRPr="00BA60F2" w:rsidRDefault="00610414" w:rsidP="00357FCD">
            <w:pPr>
              <w:spacing w:after="0" w:line="240" w:lineRule="auto"/>
              <w:rPr>
                <w:i/>
              </w:rPr>
            </w:pPr>
            <w:r w:rsidRPr="00BA60F2">
              <w:rPr>
                <w:i/>
              </w:rPr>
              <w:t>Date received</w:t>
            </w:r>
          </w:p>
        </w:tc>
        <w:tc>
          <w:tcPr>
            <w:tcW w:w="1043" w:type="dxa"/>
          </w:tcPr>
          <w:p w14:paraId="738104A9" w14:textId="77777777" w:rsidR="00610414" w:rsidRPr="00BA60F2" w:rsidRDefault="00610414" w:rsidP="00357FCD">
            <w:pPr>
              <w:spacing w:after="0" w:line="240" w:lineRule="auto"/>
              <w:rPr>
                <w:i/>
              </w:rPr>
            </w:pPr>
            <w:r w:rsidRPr="00BA60F2">
              <w:rPr>
                <w:i/>
              </w:rPr>
              <w:t>Date recorded</w:t>
            </w:r>
          </w:p>
        </w:tc>
        <w:tc>
          <w:tcPr>
            <w:tcW w:w="1333" w:type="dxa"/>
          </w:tcPr>
          <w:p w14:paraId="379CAB93" w14:textId="77777777" w:rsidR="00610414" w:rsidRPr="00BA60F2" w:rsidRDefault="00610414" w:rsidP="00357FCD">
            <w:pPr>
              <w:spacing w:after="0" w:line="240" w:lineRule="auto"/>
              <w:rPr>
                <w:i/>
              </w:rPr>
            </w:pPr>
            <w:r w:rsidRPr="00BA60F2">
              <w:rPr>
                <w:i/>
              </w:rPr>
              <w:t>Gift item/ benefit/</w:t>
            </w:r>
          </w:p>
          <w:p w14:paraId="106EFAB3" w14:textId="77777777" w:rsidR="00610414" w:rsidRPr="00BA60F2" w:rsidRDefault="00610414" w:rsidP="00357FCD">
            <w:pPr>
              <w:spacing w:after="0" w:line="240" w:lineRule="auto"/>
              <w:rPr>
                <w:i/>
              </w:rPr>
            </w:pPr>
            <w:r w:rsidRPr="00BA60F2">
              <w:rPr>
                <w:i/>
              </w:rPr>
              <w:t>service</w:t>
            </w:r>
          </w:p>
        </w:tc>
        <w:tc>
          <w:tcPr>
            <w:tcW w:w="1168" w:type="dxa"/>
          </w:tcPr>
          <w:p w14:paraId="0C9465C5" w14:textId="77777777" w:rsidR="00610414" w:rsidRPr="00BA60F2" w:rsidRDefault="00610414" w:rsidP="00357FCD">
            <w:pPr>
              <w:spacing w:after="0" w:line="240" w:lineRule="auto"/>
              <w:rPr>
                <w:i/>
              </w:rPr>
            </w:pPr>
            <w:r w:rsidRPr="00BA60F2">
              <w:rPr>
                <w:i/>
              </w:rPr>
              <w:t>Received by (agency contact if not received directly by agency head)</w:t>
            </w:r>
          </w:p>
        </w:tc>
        <w:tc>
          <w:tcPr>
            <w:tcW w:w="1923" w:type="dxa"/>
          </w:tcPr>
          <w:p w14:paraId="3410E7A5" w14:textId="77777777" w:rsidR="00610414" w:rsidRPr="00BA60F2" w:rsidRDefault="00610414" w:rsidP="00357FCD">
            <w:pPr>
              <w:spacing w:after="0" w:line="240" w:lineRule="auto"/>
              <w:rPr>
                <w:i/>
              </w:rPr>
            </w:pPr>
            <w:r w:rsidRPr="00BA60F2">
              <w:rPr>
                <w:i/>
              </w:rPr>
              <w:t>Presented by (giver’s name, organisation/ country)</w:t>
            </w:r>
          </w:p>
        </w:tc>
        <w:tc>
          <w:tcPr>
            <w:tcW w:w="1751" w:type="dxa"/>
          </w:tcPr>
          <w:p w14:paraId="07937DCF" w14:textId="77777777" w:rsidR="00610414" w:rsidRPr="00BA60F2" w:rsidRDefault="00610414" w:rsidP="00357FCD">
            <w:pPr>
              <w:spacing w:after="0" w:line="240" w:lineRule="auto"/>
              <w:rPr>
                <w:i/>
              </w:rPr>
            </w:pPr>
            <w:r w:rsidRPr="00BA60F2">
              <w:rPr>
                <w:i/>
              </w:rPr>
              <w:t>Occasion</w:t>
            </w:r>
          </w:p>
        </w:tc>
        <w:tc>
          <w:tcPr>
            <w:tcW w:w="1842" w:type="dxa"/>
          </w:tcPr>
          <w:p w14:paraId="404E3202" w14:textId="77777777" w:rsidR="00610414" w:rsidRPr="00BA60F2" w:rsidRDefault="00610414" w:rsidP="00357FCD">
            <w:pPr>
              <w:spacing w:after="0" w:line="240" w:lineRule="auto"/>
              <w:rPr>
                <w:i/>
              </w:rPr>
            </w:pPr>
            <w:r w:rsidRPr="00BA60F2">
              <w:rPr>
                <w:i/>
              </w:rPr>
              <w:t>Estimated value in $A (wholesale value in country of origin or current market value in Australia)</w:t>
            </w:r>
          </w:p>
        </w:tc>
      </w:tr>
      <w:tr w:rsidR="00610414" w:rsidRPr="00BA60F2" w14:paraId="520983BF" w14:textId="77777777" w:rsidTr="00357FCD">
        <w:tc>
          <w:tcPr>
            <w:tcW w:w="1141" w:type="dxa"/>
          </w:tcPr>
          <w:p w14:paraId="6B12E2DE" w14:textId="77777777" w:rsidR="00610414" w:rsidRPr="00BA60F2" w:rsidRDefault="00610414" w:rsidP="00357FCD">
            <w:pPr>
              <w:spacing w:after="0" w:line="240" w:lineRule="auto"/>
              <w:rPr>
                <w:i/>
              </w:rPr>
            </w:pPr>
          </w:p>
        </w:tc>
        <w:tc>
          <w:tcPr>
            <w:tcW w:w="1043" w:type="dxa"/>
          </w:tcPr>
          <w:p w14:paraId="4E96582E" w14:textId="77777777" w:rsidR="00610414" w:rsidRPr="00BA60F2" w:rsidRDefault="00610414" w:rsidP="00357FCD">
            <w:pPr>
              <w:spacing w:after="0" w:line="240" w:lineRule="auto"/>
              <w:rPr>
                <w:i/>
              </w:rPr>
            </w:pPr>
          </w:p>
        </w:tc>
        <w:tc>
          <w:tcPr>
            <w:tcW w:w="1333" w:type="dxa"/>
          </w:tcPr>
          <w:p w14:paraId="78C1CE86" w14:textId="77777777" w:rsidR="00610414" w:rsidRPr="00BA60F2" w:rsidRDefault="00610414" w:rsidP="00357FCD">
            <w:pPr>
              <w:spacing w:after="0" w:line="240" w:lineRule="auto"/>
              <w:rPr>
                <w:i/>
              </w:rPr>
            </w:pPr>
          </w:p>
        </w:tc>
        <w:tc>
          <w:tcPr>
            <w:tcW w:w="1168" w:type="dxa"/>
          </w:tcPr>
          <w:p w14:paraId="3E1CE783" w14:textId="77777777" w:rsidR="00610414" w:rsidRPr="00BA60F2" w:rsidRDefault="00610414" w:rsidP="00357FCD">
            <w:pPr>
              <w:spacing w:after="0" w:line="240" w:lineRule="auto"/>
              <w:rPr>
                <w:i/>
              </w:rPr>
            </w:pPr>
          </w:p>
        </w:tc>
        <w:tc>
          <w:tcPr>
            <w:tcW w:w="1923" w:type="dxa"/>
          </w:tcPr>
          <w:p w14:paraId="75EA57BD" w14:textId="77777777" w:rsidR="00610414" w:rsidRPr="00BA60F2" w:rsidRDefault="00610414" w:rsidP="00357FCD">
            <w:pPr>
              <w:spacing w:after="0" w:line="240" w:lineRule="auto"/>
              <w:rPr>
                <w:i/>
              </w:rPr>
            </w:pPr>
          </w:p>
        </w:tc>
        <w:tc>
          <w:tcPr>
            <w:tcW w:w="1751" w:type="dxa"/>
          </w:tcPr>
          <w:p w14:paraId="3A34F4FB" w14:textId="77777777" w:rsidR="00610414" w:rsidRPr="00BA60F2" w:rsidRDefault="00610414" w:rsidP="00357FCD">
            <w:pPr>
              <w:spacing w:after="0" w:line="240" w:lineRule="auto"/>
              <w:rPr>
                <w:i/>
              </w:rPr>
            </w:pPr>
          </w:p>
        </w:tc>
        <w:tc>
          <w:tcPr>
            <w:tcW w:w="1842" w:type="dxa"/>
          </w:tcPr>
          <w:p w14:paraId="1CA71CD3" w14:textId="77777777" w:rsidR="00610414" w:rsidRPr="00BA60F2" w:rsidRDefault="00610414" w:rsidP="00357FCD">
            <w:pPr>
              <w:spacing w:after="0" w:line="240" w:lineRule="auto"/>
              <w:rPr>
                <w:i/>
              </w:rPr>
            </w:pPr>
          </w:p>
        </w:tc>
      </w:tr>
    </w:tbl>
    <w:p w14:paraId="57739105" w14:textId="77777777" w:rsidR="00610414" w:rsidRPr="00F91817" w:rsidRDefault="00610414" w:rsidP="00F91817">
      <w:pPr>
        <w:tabs>
          <w:tab w:val="left" w:pos="1418"/>
        </w:tabs>
        <w:kinsoku w:val="0"/>
        <w:overflowPunct w:val="0"/>
        <w:autoSpaceDE w:val="0"/>
        <w:autoSpaceDN w:val="0"/>
        <w:adjustRightInd w:val="0"/>
        <w:spacing w:before="120" w:after="0" w:line="240" w:lineRule="auto"/>
        <w:rPr>
          <w:rFonts w:asciiTheme="minorHAnsi" w:hAnsiTheme="minorHAnsi" w:cstheme="minorHAnsi"/>
          <w:spacing w:val="-2"/>
        </w:rPr>
      </w:pPr>
    </w:p>
    <w:p w14:paraId="00183131" w14:textId="42D31B2D" w:rsidR="00D366A9" w:rsidRPr="00F91817" w:rsidRDefault="00CC38DA" w:rsidP="0042096A">
      <w:pPr>
        <w:pStyle w:val="ListParagraph"/>
        <w:numPr>
          <w:ilvl w:val="0"/>
          <w:numId w:val="15"/>
        </w:numPr>
        <w:tabs>
          <w:tab w:val="left" w:pos="1418"/>
        </w:tabs>
        <w:kinsoku w:val="0"/>
        <w:overflowPunct w:val="0"/>
        <w:autoSpaceDE w:val="0"/>
        <w:autoSpaceDN w:val="0"/>
        <w:adjustRightInd w:val="0"/>
        <w:spacing w:before="120" w:after="0"/>
        <w:contextualSpacing w:val="0"/>
      </w:pPr>
      <w:r w:rsidRPr="0040254B">
        <w:rPr>
          <w:rFonts w:asciiTheme="minorHAnsi" w:hAnsiTheme="minorHAnsi" w:cstheme="minorHAnsi"/>
          <w:spacing w:val="-2"/>
        </w:rPr>
        <w:t>Agency heads in the national intelligence community may provide this information through a separate agreed arrangement, such as classified annual reports</w:t>
      </w:r>
      <w:r w:rsidRPr="0040254B">
        <w:rPr>
          <w:rFonts w:ascii="Arial" w:hAnsi="Arial" w:cs="Arial"/>
        </w:rPr>
        <w:t>.</w:t>
      </w:r>
    </w:p>
    <w:p w14:paraId="3B23E6AA" w14:textId="77777777" w:rsidR="00A85121" w:rsidRPr="0040254B" w:rsidRDefault="00687A7C" w:rsidP="0042096A">
      <w:pPr>
        <w:pStyle w:val="ListParagraph"/>
        <w:numPr>
          <w:ilvl w:val="0"/>
          <w:numId w:val="15"/>
        </w:numPr>
        <w:tabs>
          <w:tab w:val="left" w:pos="1418"/>
        </w:tabs>
        <w:kinsoku w:val="0"/>
        <w:overflowPunct w:val="0"/>
        <w:autoSpaceDE w:val="0"/>
        <w:autoSpaceDN w:val="0"/>
        <w:adjustRightInd w:val="0"/>
        <w:spacing w:before="120" w:after="0"/>
        <w:contextualSpacing w:val="0"/>
        <w:rPr>
          <w:rFonts w:asciiTheme="minorHAnsi" w:hAnsiTheme="minorHAnsi" w:cstheme="minorHAnsi"/>
          <w:spacing w:val="-2"/>
        </w:rPr>
      </w:pPr>
      <w:r w:rsidRPr="0040254B">
        <w:rPr>
          <w:rFonts w:asciiTheme="minorHAnsi" w:hAnsiTheme="minorHAnsi" w:cstheme="minorHAnsi"/>
          <w:spacing w:val="-2"/>
        </w:rPr>
        <w:t xml:space="preserve">Agency heads must update their register of all gifts and benefits accepted with a value of more than $AUD100.00 (excluding GST), within 31 days of receiving the gift or benefit. </w:t>
      </w:r>
      <w:r w:rsidR="00A85121" w:rsidRPr="0040254B">
        <w:rPr>
          <w:rFonts w:asciiTheme="minorHAnsi" w:hAnsiTheme="minorHAnsi" w:cstheme="minorHAnsi"/>
          <w:spacing w:val="-2"/>
        </w:rPr>
        <w:t>Where agency heads have not accepted any gifts during the reporting period, a ‘nil’ declaration</w:t>
      </w:r>
      <w:r w:rsidR="00ED1D02" w:rsidRPr="0040254B">
        <w:rPr>
          <w:rFonts w:asciiTheme="minorHAnsi" w:hAnsiTheme="minorHAnsi" w:cstheme="minorHAnsi"/>
          <w:spacing w:val="-2"/>
        </w:rPr>
        <w:t xml:space="preserve"> must </w:t>
      </w:r>
      <w:r w:rsidR="00A85121" w:rsidRPr="0040254B">
        <w:rPr>
          <w:rFonts w:asciiTheme="minorHAnsi" w:hAnsiTheme="minorHAnsi" w:cstheme="minorHAnsi"/>
          <w:spacing w:val="-2"/>
        </w:rPr>
        <w:t>be included on the gifts and benefits register.</w:t>
      </w:r>
    </w:p>
    <w:p w14:paraId="6B54D4A2" w14:textId="2441A555" w:rsidR="00687A7C" w:rsidRPr="0040254B" w:rsidRDefault="00687A7C" w:rsidP="0042096A">
      <w:pPr>
        <w:pStyle w:val="ListParagraph"/>
        <w:numPr>
          <w:ilvl w:val="0"/>
          <w:numId w:val="15"/>
        </w:numPr>
        <w:tabs>
          <w:tab w:val="left" w:pos="1418"/>
        </w:tabs>
        <w:kinsoku w:val="0"/>
        <w:overflowPunct w:val="0"/>
        <w:autoSpaceDE w:val="0"/>
        <w:autoSpaceDN w:val="0"/>
        <w:adjustRightInd w:val="0"/>
        <w:spacing w:before="120" w:after="0"/>
        <w:contextualSpacing w:val="0"/>
        <w:rPr>
          <w:rFonts w:asciiTheme="minorHAnsi" w:hAnsiTheme="minorHAnsi" w:cstheme="minorHAnsi"/>
          <w:spacing w:val="-2"/>
        </w:rPr>
      </w:pPr>
      <w:r w:rsidRPr="0040254B">
        <w:rPr>
          <w:rFonts w:asciiTheme="minorHAnsi" w:hAnsiTheme="minorHAnsi" w:cstheme="minorHAnsi"/>
          <w:spacing w:val="-2"/>
        </w:rPr>
        <w:t>Registers must be published quarterly by 30 April</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31 July</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30 October</w:t>
      </w:r>
      <w:r w:rsidR="00757822" w:rsidRPr="0040254B">
        <w:rPr>
          <w:rFonts w:asciiTheme="minorHAnsi" w:hAnsiTheme="minorHAnsi" w:cstheme="minorHAnsi"/>
          <w:spacing w:val="-2"/>
        </w:rPr>
        <w:t>,</w:t>
      </w:r>
      <w:r w:rsidRPr="0040254B">
        <w:rPr>
          <w:rFonts w:asciiTheme="minorHAnsi" w:hAnsiTheme="minorHAnsi" w:cstheme="minorHAnsi"/>
          <w:spacing w:val="-2"/>
        </w:rPr>
        <w:t xml:space="preserve"> and 31 January each year, as set out below</w:t>
      </w:r>
      <w:r w:rsidR="00757822" w:rsidRPr="0040254B">
        <w:rPr>
          <w:rFonts w:asciiTheme="minorHAnsi" w:hAnsiTheme="minorHAnsi" w:cstheme="minorHAnsi"/>
          <w:spacing w:val="-2"/>
        </w:rPr>
        <w:t>.</w:t>
      </w:r>
    </w:p>
    <w:p w14:paraId="306E4044" w14:textId="77777777" w:rsidR="00F974E8" w:rsidRPr="008B7F7E" w:rsidRDefault="00F974E8" w:rsidP="008B7F7E">
      <w:pPr>
        <w:pStyle w:val="Bodyoftext"/>
        <w:spacing w:after="0" w:line="240" w:lineRule="auto"/>
      </w:pPr>
    </w:p>
    <w:tbl>
      <w:tblPr>
        <w:tblStyle w:val="TableGrid"/>
        <w:tblW w:w="0" w:type="auto"/>
        <w:jc w:val="center"/>
        <w:tblLook w:val="04A0" w:firstRow="1" w:lastRow="0" w:firstColumn="1" w:lastColumn="0" w:noHBand="0" w:noVBand="1"/>
      </w:tblPr>
      <w:tblGrid>
        <w:gridCol w:w="2551"/>
        <w:gridCol w:w="2523"/>
      </w:tblGrid>
      <w:tr w:rsidR="00F974E8" w:rsidRPr="00A85121" w14:paraId="07B0207C" w14:textId="77777777" w:rsidTr="00A133B9">
        <w:trPr>
          <w:trHeight w:val="530"/>
          <w:jc w:val="center"/>
        </w:trPr>
        <w:tc>
          <w:tcPr>
            <w:tcW w:w="5074" w:type="dxa"/>
            <w:gridSpan w:val="2"/>
            <w:tcBorders>
              <w:top w:val="single" w:sz="24" w:space="0" w:color="17365D" w:themeColor="text2" w:themeShade="BF"/>
              <w:left w:val="nil"/>
              <w:bottom w:val="single" w:sz="4" w:space="0" w:color="17365D" w:themeColor="text2" w:themeShade="BF"/>
              <w:right w:val="nil"/>
            </w:tcBorders>
          </w:tcPr>
          <w:p w14:paraId="10A43C75" w14:textId="5AE6F327" w:rsidR="00687A7C" w:rsidRPr="008B7F7E" w:rsidRDefault="00687A7C" w:rsidP="00757822">
            <w:pPr>
              <w:spacing w:before="160"/>
              <w:rPr>
                <w:rFonts w:eastAsiaTheme="majorEastAsia" w:cstheme="minorHAnsi"/>
                <w:b/>
                <w:sz w:val="22"/>
                <w:szCs w:val="40"/>
              </w:rPr>
            </w:pPr>
            <w:r w:rsidRPr="008B7F7E">
              <w:rPr>
                <w:rFonts w:eastAsiaTheme="majorEastAsia" w:cstheme="minorHAnsi"/>
                <w:b/>
                <w:szCs w:val="40"/>
              </w:rPr>
              <w:t xml:space="preserve">QUARTERLY REPORTING </w:t>
            </w:r>
            <w:r w:rsidR="000B5601">
              <w:rPr>
                <w:rFonts w:eastAsiaTheme="majorEastAsia" w:cstheme="minorHAnsi"/>
                <w:b/>
                <w:sz w:val="22"/>
                <w:szCs w:val="40"/>
              </w:rPr>
              <w:t>&amp;</w:t>
            </w:r>
            <w:r w:rsidRPr="008B7F7E">
              <w:rPr>
                <w:rFonts w:eastAsiaTheme="majorEastAsia" w:cstheme="minorHAnsi"/>
                <w:b/>
                <w:szCs w:val="40"/>
              </w:rPr>
              <w:t xml:space="preserve"> PUBLICATION CYCLE </w:t>
            </w:r>
          </w:p>
        </w:tc>
      </w:tr>
      <w:tr w:rsidR="00F974E8" w:rsidRPr="00A85121" w14:paraId="1134EDCF" w14:textId="77777777" w:rsidTr="00A133B9">
        <w:trPr>
          <w:jc w:val="center"/>
        </w:trPr>
        <w:tc>
          <w:tcPr>
            <w:tcW w:w="2551" w:type="dxa"/>
            <w:tcBorders>
              <w:top w:val="single" w:sz="4" w:space="0" w:color="17365D" w:themeColor="text2" w:themeShade="BF"/>
            </w:tcBorders>
            <w:shd w:val="clear" w:color="auto" w:fill="C6D9F1" w:themeFill="text2" w:themeFillTint="33"/>
          </w:tcPr>
          <w:p w14:paraId="0ADAEF92" w14:textId="77777777" w:rsidR="00687A7C" w:rsidRPr="008B7F7E" w:rsidRDefault="00687A7C" w:rsidP="00A133B9">
            <w:pPr>
              <w:rPr>
                <w:rFonts w:cstheme="minorHAnsi"/>
                <w:b/>
                <w:iCs/>
              </w:rPr>
            </w:pPr>
            <w:r w:rsidRPr="008B7F7E">
              <w:rPr>
                <w:rFonts w:cstheme="minorHAnsi"/>
                <w:b/>
                <w:iCs/>
              </w:rPr>
              <w:t>Reporting Coverage</w:t>
            </w:r>
          </w:p>
        </w:tc>
        <w:tc>
          <w:tcPr>
            <w:tcW w:w="2523" w:type="dxa"/>
            <w:tcBorders>
              <w:top w:val="single" w:sz="4" w:space="0" w:color="17365D" w:themeColor="text2" w:themeShade="BF"/>
            </w:tcBorders>
            <w:shd w:val="clear" w:color="auto" w:fill="C6D9F1" w:themeFill="text2" w:themeFillTint="33"/>
          </w:tcPr>
          <w:p w14:paraId="0C256233" w14:textId="77777777" w:rsidR="00687A7C" w:rsidRPr="008B7F7E" w:rsidRDefault="00687A7C" w:rsidP="00A133B9">
            <w:pPr>
              <w:rPr>
                <w:rFonts w:cstheme="minorHAnsi"/>
                <w:b/>
                <w:iCs/>
              </w:rPr>
            </w:pPr>
            <w:r w:rsidRPr="008B7F7E">
              <w:rPr>
                <w:rFonts w:cstheme="minorHAnsi"/>
                <w:b/>
                <w:iCs/>
              </w:rPr>
              <w:t>Report Publication Date</w:t>
            </w:r>
          </w:p>
        </w:tc>
      </w:tr>
      <w:tr w:rsidR="00F974E8" w:rsidRPr="00A85121" w14:paraId="53683244" w14:textId="77777777" w:rsidTr="00A133B9">
        <w:trPr>
          <w:jc w:val="center"/>
        </w:trPr>
        <w:tc>
          <w:tcPr>
            <w:tcW w:w="2551" w:type="dxa"/>
          </w:tcPr>
          <w:p w14:paraId="3693E947"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 xml:space="preserve">1 Oct - 31 Dec </w:t>
            </w:r>
          </w:p>
        </w:tc>
        <w:tc>
          <w:tcPr>
            <w:tcW w:w="2523" w:type="dxa"/>
          </w:tcPr>
          <w:p w14:paraId="636922C8"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Jan</w:t>
            </w:r>
            <w:r w:rsidR="005C713C">
              <w:rPr>
                <w:rFonts w:eastAsiaTheme="majorEastAsia" w:cstheme="minorHAnsi"/>
                <w:szCs w:val="40"/>
              </w:rPr>
              <w:t>*</w:t>
            </w:r>
          </w:p>
        </w:tc>
      </w:tr>
      <w:tr w:rsidR="00F974E8" w:rsidRPr="00A85121" w14:paraId="789A71B1" w14:textId="77777777" w:rsidTr="00A133B9">
        <w:trPr>
          <w:jc w:val="center"/>
        </w:trPr>
        <w:tc>
          <w:tcPr>
            <w:tcW w:w="2551" w:type="dxa"/>
          </w:tcPr>
          <w:p w14:paraId="5F5D2BD9"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Jan – 31 Mar</w:t>
            </w:r>
          </w:p>
        </w:tc>
        <w:tc>
          <w:tcPr>
            <w:tcW w:w="2523" w:type="dxa"/>
          </w:tcPr>
          <w:p w14:paraId="1468192C"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30 Apr</w:t>
            </w:r>
          </w:p>
        </w:tc>
      </w:tr>
      <w:tr w:rsidR="00F974E8" w:rsidRPr="00A85121" w14:paraId="4C5F5C8A" w14:textId="77777777" w:rsidTr="00A133B9">
        <w:trPr>
          <w:jc w:val="center"/>
        </w:trPr>
        <w:tc>
          <w:tcPr>
            <w:tcW w:w="2551" w:type="dxa"/>
          </w:tcPr>
          <w:p w14:paraId="580882CB"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Apr – 30 Jun</w:t>
            </w:r>
          </w:p>
        </w:tc>
        <w:tc>
          <w:tcPr>
            <w:tcW w:w="2523" w:type="dxa"/>
          </w:tcPr>
          <w:p w14:paraId="598E8A60"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Jul</w:t>
            </w:r>
          </w:p>
        </w:tc>
      </w:tr>
      <w:tr w:rsidR="00F974E8" w:rsidRPr="00A85121" w14:paraId="1B38F74C" w14:textId="77777777" w:rsidTr="00A133B9">
        <w:trPr>
          <w:jc w:val="center"/>
        </w:trPr>
        <w:tc>
          <w:tcPr>
            <w:tcW w:w="2551" w:type="dxa"/>
          </w:tcPr>
          <w:p w14:paraId="016E07E8"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1 Jul – 30 Sept</w:t>
            </w:r>
          </w:p>
        </w:tc>
        <w:tc>
          <w:tcPr>
            <w:tcW w:w="2523" w:type="dxa"/>
          </w:tcPr>
          <w:p w14:paraId="753206BA"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31 Oct</w:t>
            </w:r>
          </w:p>
        </w:tc>
      </w:tr>
      <w:tr w:rsidR="00F974E8" w:rsidRPr="00A85121" w14:paraId="40BF0017" w14:textId="77777777" w:rsidTr="00A133B9">
        <w:trPr>
          <w:jc w:val="center"/>
        </w:trPr>
        <w:tc>
          <w:tcPr>
            <w:tcW w:w="5074" w:type="dxa"/>
            <w:gridSpan w:val="2"/>
            <w:shd w:val="clear" w:color="auto" w:fill="C6D9F1" w:themeFill="text2" w:themeFillTint="33"/>
          </w:tcPr>
          <w:p w14:paraId="7373E903" w14:textId="77777777" w:rsidR="00687A7C" w:rsidRPr="008B7F7E" w:rsidRDefault="00687A7C" w:rsidP="00A133B9">
            <w:pPr>
              <w:rPr>
                <w:rFonts w:eastAsiaTheme="majorEastAsia" w:cstheme="minorHAnsi"/>
                <w:sz w:val="22"/>
                <w:szCs w:val="40"/>
              </w:rPr>
            </w:pPr>
            <w:r w:rsidRPr="008B7F7E">
              <w:rPr>
                <w:rFonts w:cstheme="minorHAnsi"/>
                <w:b/>
                <w:iCs/>
              </w:rPr>
              <w:t>Registers must</w:t>
            </w:r>
            <w:r w:rsidR="00757822">
              <w:rPr>
                <w:rFonts w:cstheme="minorHAnsi"/>
                <w:b/>
                <w:iCs/>
              </w:rPr>
              <w:t xml:space="preserve"> also</w:t>
            </w:r>
            <w:r w:rsidRPr="008B7F7E">
              <w:rPr>
                <w:rFonts w:cstheme="minorHAnsi"/>
                <w:b/>
                <w:iCs/>
              </w:rPr>
              <w:t xml:space="preserve"> be updated:</w:t>
            </w:r>
          </w:p>
        </w:tc>
      </w:tr>
      <w:tr w:rsidR="00687A7C" w:rsidRPr="00A85121" w14:paraId="34EB6414" w14:textId="77777777" w:rsidTr="00A133B9">
        <w:trPr>
          <w:jc w:val="center"/>
        </w:trPr>
        <w:tc>
          <w:tcPr>
            <w:tcW w:w="5074" w:type="dxa"/>
            <w:gridSpan w:val="2"/>
          </w:tcPr>
          <w:p w14:paraId="7A7350B0" w14:textId="77777777" w:rsidR="00687A7C" w:rsidRPr="008B7F7E" w:rsidRDefault="00687A7C" w:rsidP="00A133B9">
            <w:pPr>
              <w:rPr>
                <w:rFonts w:eastAsiaTheme="majorEastAsia" w:cstheme="minorHAnsi"/>
                <w:sz w:val="22"/>
                <w:szCs w:val="40"/>
              </w:rPr>
            </w:pPr>
            <w:r w:rsidRPr="008B7F7E">
              <w:rPr>
                <w:rFonts w:eastAsiaTheme="majorEastAsia" w:cstheme="minorHAnsi"/>
                <w:szCs w:val="40"/>
              </w:rPr>
              <w:t>within</w:t>
            </w:r>
            <w:r w:rsidRPr="008B7F7E">
              <w:rPr>
                <w:rFonts w:eastAsiaTheme="majorEastAsia" w:cstheme="minorHAnsi"/>
                <w:b/>
                <w:szCs w:val="40"/>
              </w:rPr>
              <w:t xml:space="preserve"> 31 days</w:t>
            </w:r>
            <w:r w:rsidRPr="008B7F7E">
              <w:rPr>
                <w:rFonts w:eastAsiaTheme="majorEastAsia" w:cstheme="minorHAnsi"/>
                <w:szCs w:val="40"/>
              </w:rPr>
              <w:t xml:space="preserve"> of receiving a gift or benefit</w:t>
            </w:r>
          </w:p>
        </w:tc>
      </w:tr>
    </w:tbl>
    <w:p w14:paraId="456B1BB9" w14:textId="77777777" w:rsidR="00687A7C" w:rsidRPr="00A85121" w:rsidRDefault="00687A7C" w:rsidP="00687A7C">
      <w:pPr>
        <w:spacing w:after="0" w:line="240" w:lineRule="auto"/>
      </w:pPr>
    </w:p>
    <w:p w14:paraId="3913547C" w14:textId="13672DB2" w:rsidR="00687A7C" w:rsidRPr="008B7F7E" w:rsidRDefault="005C713C" w:rsidP="00F212E5">
      <w:pPr>
        <w:pStyle w:val="ListParagraph"/>
        <w:numPr>
          <w:ilvl w:val="1"/>
          <w:numId w:val="6"/>
        </w:numPr>
        <w:spacing w:after="0" w:line="240" w:lineRule="auto"/>
        <w:ind w:left="1077" w:hanging="357"/>
        <w:contextualSpacing w:val="0"/>
      </w:pPr>
      <w:r w:rsidRPr="005C713C">
        <w:rPr>
          <w:b/>
        </w:rPr>
        <w:t>Note</w:t>
      </w:r>
      <w:r w:rsidRPr="008B7F7E">
        <w:rPr>
          <w:b/>
        </w:rPr>
        <w:t>:</w:t>
      </w:r>
      <w:r>
        <w:rPr>
          <w:b/>
        </w:rPr>
        <w:t xml:space="preserve"> </w:t>
      </w:r>
      <w:r w:rsidR="00687A7C" w:rsidRPr="008B7F7E">
        <w:t>To allow for the adjusted reporting cycle, the first register to be published following the date of commencement of this guidance (</w:t>
      </w:r>
      <w:r w:rsidR="00F60CF9">
        <w:t>1</w:t>
      </w:r>
      <w:r w:rsidR="003F4D2B">
        <w:t xml:space="preserve"> December 2021</w:t>
      </w:r>
      <w:r w:rsidR="00687A7C" w:rsidRPr="008B7F7E">
        <w:t xml:space="preserve">) </w:t>
      </w:r>
      <w:r>
        <w:t xml:space="preserve">will </w:t>
      </w:r>
      <w:r w:rsidR="00687A7C" w:rsidRPr="008B7F7E">
        <w:t xml:space="preserve">cover an extended timeframe of </w:t>
      </w:r>
      <w:r w:rsidR="000B5601">
        <w:t>3</w:t>
      </w:r>
      <w:r w:rsidR="006F3BDF">
        <w:t> </w:t>
      </w:r>
      <w:r w:rsidR="000B5601">
        <w:t>September</w:t>
      </w:r>
      <w:r w:rsidR="00687A7C" w:rsidRPr="008B7F7E">
        <w:t xml:space="preserve"> 202</w:t>
      </w:r>
      <w:r w:rsidR="003F4D2B">
        <w:t>1</w:t>
      </w:r>
      <w:r w:rsidR="00687A7C" w:rsidRPr="008B7F7E">
        <w:t xml:space="preserve">- 31 </w:t>
      </w:r>
      <w:r w:rsidR="003F4D2B">
        <w:t>December</w:t>
      </w:r>
      <w:r w:rsidR="00687A7C" w:rsidRPr="008B7F7E">
        <w:t xml:space="preserve"> 2021. After this date, the reporting cycles will be as set out above.</w:t>
      </w:r>
    </w:p>
    <w:p w14:paraId="359CEF71" w14:textId="77777777" w:rsidR="0083165E" w:rsidRDefault="0083165E" w:rsidP="008B7F7E">
      <w:pPr>
        <w:pStyle w:val="Bodyoftext"/>
        <w:spacing w:after="0" w:line="240" w:lineRule="auto"/>
        <w:rPr>
          <w:color w:val="C00000"/>
        </w:rPr>
      </w:pPr>
    </w:p>
    <w:p w14:paraId="2316D123" w14:textId="429FEC7A" w:rsidR="006A2431" w:rsidRDefault="00491D61" w:rsidP="0042096A">
      <w:pPr>
        <w:pStyle w:val="ListParagraph"/>
        <w:numPr>
          <w:ilvl w:val="0"/>
          <w:numId w:val="15"/>
        </w:numPr>
        <w:spacing w:before="120" w:after="0" w:line="276" w:lineRule="auto"/>
      </w:pPr>
      <w:r>
        <w:t>A</w:t>
      </w:r>
      <w:r w:rsidR="00A67EC7" w:rsidRPr="00A85121">
        <w:t>gency heads</w:t>
      </w:r>
      <w:r w:rsidR="00CC38DA">
        <w:t xml:space="preserve"> (</w:t>
      </w:r>
      <w:r w:rsidR="00CC38DA" w:rsidRPr="0040254B">
        <w:rPr>
          <w:rFonts w:asciiTheme="minorHAnsi" w:hAnsiTheme="minorHAnsi" w:cstheme="minorHAnsi"/>
          <w:spacing w:val="-2"/>
        </w:rPr>
        <w:t>with the exception of agency heads in the national intelligence community)</w:t>
      </w:r>
      <w:r w:rsidR="00A67EC7" w:rsidRPr="00A85121">
        <w:t xml:space="preserve"> </w:t>
      </w:r>
      <w:r w:rsidR="0000196B">
        <w:t>will</w:t>
      </w:r>
      <w:r w:rsidR="00F60CF9">
        <w:t xml:space="preserve"> arrange for a</w:t>
      </w:r>
      <w:r w:rsidR="00F60CF9">
        <w:rPr>
          <w:rStyle w:val="CommentReference"/>
        </w:rPr>
        <w:t xml:space="preserve"> </w:t>
      </w:r>
      <w:r w:rsidR="00A67EC7" w:rsidRPr="00A85121">
        <w:t xml:space="preserve">web link to their register to </w:t>
      </w:r>
      <w:r w:rsidR="00F60CF9">
        <w:t xml:space="preserve">be provided to </w:t>
      </w:r>
      <w:r w:rsidR="00CC38DA">
        <w:t>the Commission</w:t>
      </w:r>
      <w:r w:rsidR="00A67EC7" w:rsidRPr="00A85121">
        <w:t xml:space="preserve"> for publication on the C</w:t>
      </w:r>
      <w:r w:rsidR="00116A09">
        <w:t>ommission</w:t>
      </w:r>
      <w:r w:rsidR="00A67EC7" w:rsidRPr="00A85121">
        <w:t xml:space="preserve">’s website (by email to </w:t>
      </w:r>
      <w:hyperlink r:id="rId11" w:history="1">
        <w:r w:rsidR="00A67EC7" w:rsidRPr="0040254B">
          <w:rPr>
            <w:rStyle w:val="Hyperlink"/>
            <w:color w:val="auto"/>
          </w:rPr>
          <w:t>gifts@apsc.gov.au</w:t>
        </w:r>
      </w:hyperlink>
      <w:r w:rsidR="00A67EC7" w:rsidRPr="00A85121">
        <w:t xml:space="preserve">). Should the location of the register (on the agency’s website) change at any time, the agency head will provide an updated link to the Commission at the next quarterly report publication date. </w:t>
      </w:r>
    </w:p>
    <w:p w14:paraId="3D61E8B5" w14:textId="21606547" w:rsidR="00A43A04" w:rsidRPr="00F91817" w:rsidRDefault="00687A7C" w:rsidP="00F212E5">
      <w:pPr>
        <w:pStyle w:val="Heading3"/>
        <w:rPr>
          <w:rStyle w:val="BodyoftextChar"/>
        </w:rPr>
      </w:pPr>
      <w:r>
        <w:lastRenderedPageBreak/>
        <w:t>What about my p</w:t>
      </w:r>
      <w:r w:rsidR="00A43A04">
        <w:t>rivacy</w:t>
      </w:r>
      <w:r>
        <w:t xml:space="preserve"> and the privacy of others?</w:t>
      </w:r>
    </w:p>
    <w:p w14:paraId="78F17F75" w14:textId="391E3A1B" w:rsidR="00F91817" w:rsidRPr="00A43A04" w:rsidRDefault="00A43A04" w:rsidP="0042096A">
      <w:pPr>
        <w:pStyle w:val="Bodyoftext"/>
        <w:numPr>
          <w:ilvl w:val="0"/>
          <w:numId w:val="15"/>
        </w:numPr>
        <w:spacing w:before="120" w:after="0"/>
      </w:pPr>
      <w:r>
        <w:t xml:space="preserve">Agencies should comply with their obligations under the </w:t>
      </w:r>
      <w:r w:rsidRPr="00116A09">
        <w:rPr>
          <w:i/>
        </w:rPr>
        <w:t>Privacy Act 1988</w:t>
      </w:r>
      <w:r>
        <w:t xml:space="preserve"> in</w:t>
      </w:r>
      <w:r w:rsidR="00D21667">
        <w:t xml:space="preserve"> relation to the publishing of r</w:t>
      </w:r>
      <w:r>
        <w:t xml:space="preserve">egisters. This means that consideration should be given to </w:t>
      </w:r>
      <w:r w:rsidR="00841143">
        <w:t xml:space="preserve">ensuring that the gift or benefit giver is advised that their information may be published on the register. </w:t>
      </w:r>
    </w:p>
    <w:p w14:paraId="7E7314A3" w14:textId="506DCFFC" w:rsidR="00F91817" w:rsidRDefault="00687A7C" w:rsidP="00F212E5">
      <w:pPr>
        <w:pStyle w:val="Heading3"/>
      </w:pPr>
      <w:r>
        <w:t>Contact</w:t>
      </w:r>
    </w:p>
    <w:p w14:paraId="24FA4E1C" w14:textId="5485315A" w:rsidR="00B93102" w:rsidRDefault="000C6CFF" w:rsidP="0042096A">
      <w:pPr>
        <w:pStyle w:val="ListParagraph"/>
        <w:numPr>
          <w:ilvl w:val="0"/>
          <w:numId w:val="15"/>
        </w:numPr>
        <w:spacing w:before="120" w:after="0"/>
      </w:pPr>
      <w:r w:rsidRPr="002404A1">
        <w:t>F</w:t>
      </w:r>
      <w:r w:rsidR="00687A7C">
        <w:t>or f</w:t>
      </w:r>
      <w:r w:rsidRPr="002404A1">
        <w:t>urther g</w:t>
      </w:r>
      <w:r w:rsidR="00C03C51" w:rsidRPr="002404A1">
        <w:t>uidance</w:t>
      </w:r>
      <w:r w:rsidR="00890C94" w:rsidRPr="002404A1">
        <w:t>,</w:t>
      </w:r>
      <w:r w:rsidR="00687A7C">
        <w:t xml:space="preserve"> contact </w:t>
      </w:r>
      <w:hyperlink r:id="rId12" w:history="1">
        <w:r w:rsidR="00890C94" w:rsidRPr="002404A1">
          <w:rPr>
            <w:rStyle w:val="Hyperlink"/>
          </w:rPr>
          <w:t>gifts@apsc.gov.au</w:t>
        </w:r>
      </w:hyperlink>
      <w:r w:rsidR="00890C94" w:rsidRPr="002404A1">
        <w:t>.</w:t>
      </w:r>
    </w:p>
    <w:sectPr w:rsidR="00B93102" w:rsidSect="00BA60F2">
      <w:headerReference w:type="default" r:id="rId13"/>
      <w:footerReference w:type="default" r:id="rId14"/>
      <w:headerReference w:type="first" r:id="rId15"/>
      <w:footerReference w:type="first" r:id="rId16"/>
      <w:pgSz w:w="11906" w:h="16838"/>
      <w:pgMar w:top="1701" w:right="851" w:bottom="993"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77AE" w14:textId="77777777" w:rsidR="007502E5" w:rsidRPr="00E263FC" w:rsidRDefault="007502E5" w:rsidP="00E263FC">
      <w:r>
        <w:separator/>
      </w:r>
    </w:p>
  </w:endnote>
  <w:endnote w:type="continuationSeparator" w:id="0">
    <w:p w14:paraId="1E8AE6D6" w14:textId="77777777" w:rsidR="007502E5" w:rsidRPr="00E263FC" w:rsidRDefault="007502E5" w:rsidP="00E263FC">
      <w:r>
        <w:continuationSeparator/>
      </w:r>
    </w:p>
  </w:endnote>
  <w:endnote w:type="continuationNotice" w:id="1">
    <w:p w14:paraId="4292A493" w14:textId="77777777" w:rsidR="007502E5" w:rsidRDefault="00750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801"/>
      <w:docPartObj>
        <w:docPartGallery w:val="Page Numbers (Bottom of Page)"/>
        <w:docPartUnique/>
      </w:docPartObj>
    </w:sdtPr>
    <w:sdtEndPr>
      <w:rPr>
        <w:noProof/>
      </w:rPr>
    </w:sdtEndPr>
    <w:sdtContent>
      <w:p w14:paraId="0625105D" w14:textId="3B305AFF" w:rsidR="007502E5" w:rsidRDefault="007502E5">
        <w:pPr>
          <w:pStyle w:val="Footer"/>
          <w:jc w:val="right"/>
        </w:pPr>
        <w:r>
          <w:fldChar w:fldCharType="begin"/>
        </w:r>
        <w:r>
          <w:instrText xml:space="preserve"> PAGE   \* MERGEFORMAT </w:instrText>
        </w:r>
        <w:r>
          <w:fldChar w:fldCharType="separate"/>
        </w:r>
        <w:r w:rsidR="000D33C8">
          <w:rPr>
            <w:noProof/>
          </w:rPr>
          <w:t>6</w:t>
        </w:r>
        <w:r>
          <w:rPr>
            <w:noProof/>
          </w:rPr>
          <w:fldChar w:fldCharType="end"/>
        </w:r>
      </w:p>
    </w:sdtContent>
  </w:sdt>
  <w:p w14:paraId="56F17FB3" w14:textId="77777777" w:rsidR="007502E5" w:rsidRPr="00B80A28" w:rsidRDefault="007502E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17222"/>
      <w:docPartObj>
        <w:docPartGallery w:val="Page Numbers (Bottom of Page)"/>
        <w:docPartUnique/>
      </w:docPartObj>
    </w:sdtPr>
    <w:sdtEndPr>
      <w:rPr>
        <w:noProof/>
      </w:rPr>
    </w:sdtEndPr>
    <w:sdtContent>
      <w:p w14:paraId="78624093" w14:textId="107CA413" w:rsidR="007502E5" w:rsidRDefault="007502E5">
        <w:pPr>
          <w:pStyle w:val="Footer"/>
          <w:jc w:val="center"/>
        </w:pPr>
        <w:r>
          <w:fldChar w:fldCharType="begin"/>
        </w:r>
        <w:r>
          <w:instrText xml:space="preserve"> PAGE   \* MERGEFORMAT </w:instrText>
        </w:r>
        <w:r>
          <w:fldChar w:fldCharType="separate"/>
        </w:r>
        <w:r w:rsidR="000D33C8">
          <w:rPr>
            <w:noProof/>
          </w:rPr>
          <w:t>1</w:t>
        </w:r>
        <w:r>
          <w:rPr>
            <w:noProof/>
          </w:rPr>
          <w:fldChar w:fldCharType="end"/>
        </w:r>
      </w:p>
    </w:sdtContent>
  </w:sdt>
  <w:p w14:paraId="6C54334C" w14:textId="77777777" w:rsidR="007502E5" w:rsidRDefault="0075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EFFB" w14:textId="77777777" w:rsidR="007502E5" w:rsidRPr="00E263FC" w:rsidRDefault="007502E5" w:rsidP="00E263FC">
      <w:r>
        <w:separator/>
      </w:r>
    </w:p>
  </w:footnote>
  <w:footnote w:type="continuationSeparator" w:id="0">
    <w:p w14:paraId="4135BD33" w14:textId="77777777" w:rsidR="007502E5" w:rsidRPr="00E263FC" w:rsidRDefault="007502E5" w:rsidP="00E263FC">
      <w:r>
        <w:continuationSeparator/>
      </w:r>
    </w:p>
  </w:footnote>
  <w:footnote w:type="continuationNotice" w:id="1">
    <w:p w14:paraId="5CB94CD0" w14:textId="77777777" w:rsidR="007502E5" w:rsidRDefault="007502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606C" w14:textId="77777777" w:rsidR="007502E5" w:rsidRDefault="000D33C8"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7502E5">
          <w:t>Guidance for Agency Heads—Gifts and Benefits</w:t>
        </w:r>
      </w:sdtContent>
    </w:sdt>
  </w:p>
  <w:p w14:paraId="62B0D6DD" w14:textId="77777777" w:rsidR="007502E5" w:rsidRDefault="00750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62D55" w14:textId="77777777" w:rsidR="007502E5" w:rsidRDefault="007502E5" w:rsidP="0086000B">
    <w:pPr>
      <w:pStyle w:val="Title"/>
      <w:tabs>
        <w:tab w:val="left" w:pos="2340"/>
      </w:tabs>
    </w:pPr>
    <w:r>
      <w:rPr>
        <w:noProof/>
      </w:rPr>
      <w:drawing>
        <wp:anchor distT="0" distB="0" distL="114300" distR="114300" simplePos="0" relativeHeight="251658240" behindDoc="1" locked="0" layoutInCell="1" allowOverlap="1" wp14:anchorId="16BEB2A0" wp14:editId="2CD76E01">
          <wp:simplePos x="0" y="0"/>
          <wp:positionH relativeFrom="column">
            <wp:posOffset>-235585</wp:posOffset>
          </wp:positionH>
          <wp:positionV relativeFrom="paragraph">
            <wp:posOffset>-424815</wp:posOffset>
          </wp:positionV>
          <wp:extent cx="7041600" cy="1148400"/>
          <wp:effectExtent l="0" t="0" r="6985" b="0"/>
          <wp:wrapNone/>
          <wp:docPr id="11" name="Picture 11"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Guidance for Agency Heads</w:t>
    </w:r>
    <w:r>
      <w:tab/>
    </w:r>
  </w:p>
  <w:p w14:paraId="72A5D591" w14:textId="46CA5EEA" w:rsidR="007502E5" w:rsidRPr="00FC5C50" w:rsidRDefault="007502E5" w:rsidP="00FC5C50">
    <w:pPr>
      <w:pStyle w:val="TitleSubheading"/>
    </w:pPr>
    <w:r>
      <w:t>Gifts and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B4E"/>
    <w:multiLevelType w:val="hybridMultilevel"/>
    <w:tmpl w:val="DA8834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A16C10"/>
    <w:multiLevelType w:val="hybridMultilevel"/>
    <w:tmpl w:val="F59C0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D607AE"/>
    <w:multiLevelType w:val="hybridMultilevel"/>
    <w:tmpl w:val="8FEA9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054352"/>
    <w:multiLevelType w:val="hybridMultilevel"/>
    <w:tmpl w:val="D1A8B0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E65C66"/>
    <w:multiLevelType w:val="hybridMultilevel"/>
    <w:tmpl w:val="4E3E36F4"/>
    <w:lvl w:ilvl="0" w:tplc="0C09000F">
      <w:start w:val="1"/>
      <w:numFmt w:val="decimal"/>
      <w:lvlText w:val="%1."/>
      <w:lvlJc w:val="left"/>
      <w:pPr>
        <w:ind w:left="360" w:hanging="360"/>
      </w:pPr>
    </w:lvl>
    <w:lvl w:ilvl="1" w:tplc="DFE6028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3366A8"/>
    <w:multiLevelType w:val="hybridMultilevel"/>
    <w:tmpl w:val="F2CC1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D30840"/>
    <w:multiLevelType w:val="hybridMultilevel"/>
    <w:tmpl w:val="412A6D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0463B4"/>
    <w:multiLevelType w:val="hybridMultilevel"/>
    <w:tmpl w:val="7CD2E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871919"/>
    <w:multiLevelType w:val="hybridMultilevel"/>
    <w:tmpl w:val="2020C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936D4C"/>
    <w:multiLevelType w:val="hybridMultilevel"/>
    <w:tmpl w:val="C074C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48639C"/>
    <w:multiLevelType w:val="hybridMultilevel"/>
    <w:tmpl w:val="221A9834"/>
    <w:lvl w:ilvl="0" w:tplc="01C8B978">
      <w:start w:val="1"/>
      <w:numFmt w:val="decimal"/>
      <w:pStyle w:val="NumberedStandard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CC0476"/>
    <w:multiLevelType w:val="hybridMultilevel"/>
    <w:tmpl w:val="9094E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3"/>
  </w:num>
  <w:num w:numId="4">
    <w:abstractNumId w:val="10"/>
  </w:num>
  <w:num w:numId="5">
    <w:abstractNumId w:val="13"/>
  </w:num>
  <w:num w:numId="6">
    <w:abstractNumId w:val="5"/>
  </w:num>
  <w:num w:numId="7">
    <w:abstractNumId w:val="8"/>
  </w:num>
  <w:num w:numId="8">
    <w:abstractNumId w:val="0"/>
  </w:num>
  <w:num w:numId="9">
    <w:abstractNumId w:val="2"/>
  </w:num>
  <w:num w:numId="10">
    <w:abstractNumId w:val="15"/>
  </w:num>
  <w:num w:numId="11">
    <w:abstractNumId w:val="1"/>
  </w:num>
  <w:num w:numId="12">
    <w:abstractNumId w:val="4"/>
  </w:num>
  <w:num w:numId="13">
    <w:abstractNumId w:val="7"/>
  </w:num>
  <w:num w:numId="14">
    <w:abstractNumId w:val="6"/>
  </w:num>
  <w:num w:numId="15">
    <w:abstractNumId w:val="11"/>
  </w:num>
  <w:num w:numId="1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formatting="1" w:enforcement="0"/>
  <w:styleLockTheme/>
  <w:styleLockQFSet/>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196B"/>
    <w:rsid w:val="00001BE5"/>
    <w:rsid w:val="00003AD1"/>
    <w:rsid w:val="00007157"/>
    <w:rsid w:val="00015309"/>
    <w:rsid w:val="000153CE"/>
    <w:rsid w:val="00026596"/>
    <w:rsid w:val="00030C9C"/>
    <w:rsid w:val="00037CCE"/>
    <w:rsid w:val="0004063E"/>
    <w:rsid w:val="00053455"/>
    <w:rsid w:val="00062DEF"/>
    <w:rsid w:val="00064764"/>
    <w:rsid w:val="000656ED"/>
    <w:rsid w:val="00066BD7"/>
    <w:rsid w:val="00067C30"/>
    <w:rsid w:val="000716C1"/>
    <w:rsid w:val="000770FE"/>
    <w:rsid w:val="00085877"/>
    <w:rsid w:val="00085E03"/>
    <w:rsid w:val="00090222"/>
    <w:rsid w:val="00090D3B"/>
    <w:rsid w:val="0009370C"/>
    <w:rsid w:val="000B3AF1"/>
    <w:rsid w:val="000B5601"/>
    <w:rsid w:val="000C071E"/>
    <w:rsid w:val="000C175C"/>
    <w:rsid w:val="000C18CE"/>
    <w:rsid w:val="000C3670"/>
    <w:rsid w:val="000C6631"/>
    <w:rsid w:val="000C6CFF"/>
    <w:rsid w:val="000D33C8"/>
    <w:rsid w:val="000E49A1"/>
    <w:rsid w:val="000E4E99"/>
    <w:rsid w:val="000F3886"/>
    <w:rsid w:val="000F39F8"/>
    <w:rsid w:val="000F67B2"/>
    <w:rsid w:val="000F691C"/>
    <w:rsid w:val="00105669"/>
    <w:rsid w:val="00106E1C"/>
    <w:rsid w:val="00114526"/>
    <w:rsid w:val="00115E21"/>
    <w:rsid w:val="00116A09"/>
    <w:rsid w:val="00117C23"/>
    <w:rsid w:val="001319F2"/>
    <w:rsid w:val="00135315"/>
    <w:rsid w:val="00136E8D"/>
    <w:rsid w:val="00140A2E"/>
    <w:rsid w:val="001443E2"/>
    <w:rsid w:val="00150A16"/>
    <w:rsid w:val="0016100A"/>
    <w:rsid w:val="0016649E"/>
    <w:rsid w:val="00170370"/>
    <w:rsid w:val="00172B55"/>
    <w:rsid w:val="00181759"/>
    <w:rsid w:val="00184E30"/>
    <w:rsid w:val="001930CA"/>
    <w:rsid w:val="001A31C3"/>
    <w:rsid w:val="001A7698"/>
    <w:rsid w:val="001B15B8"/>
    <w:rsid w:val="001C5A6A"/>
    <w:rsid w:val="001D67C8"/>
    <w:rsid w:val="001E55F5"/>
    <w:rsid w:val="001E75C5"/>
    <w:rsid w:val="001F2182"/>
    <w:rsid w:val="001F57CC"/>
    <w:rsid w:val="0020294E"/>
    <w:rsid w:val="00206735"/>
    <w:rsid w:val="00207ECD"/>
    <w:rsid w:val="00221F62"/>
    <w:rsid w:val="00224B92"/>
    <w:rsid w:val="00224C5A"/>
    <w:rsid w:val="002301C2"/>
    <w:rsid w:val="00230BDD"/>
    <w:rsid w:val="00233CD0"/>
    <w:rsid w:val="002361A6"/>
    <w:rsid w:val="002404A1"/>
    <w:rsid w:val="00245E60"/>
    <w:rsid w:val="00247A43"/>
    <w:rsid w:val="002519BF"/>
    <w:rsid w:val="00251EA4"/>
    <w:rsid w:val="00264934"/>
    <w:rsid w:val="00267ED5"/>
    <w:rsid w:val="00272462"/>
    <w:rsid w:val="0027375D"/>
    <w:rsid w:val="00277AE8"/>
    <w:rsid w:val="00285EF5"/>
    <w:rsid w:val="002941CE"/>
    <w:rsid w:val="00297CEF"/>
    <w:rsid w:val="002A0088"/>
    <w:rsid w:val="002A5C5D"/>
    <w:rsid w:val="002A6F2B"/>
    <w:rsid w:val="002B66FA"/>
    <w:rsid w:val="002F0A74"/>
    <w:rsid w:val="002F612E"/>
    <w:rsid w:val="002F77CD"/>
    <w:rsid w:val="00300228"/>
    <w:rsid w:val="003022D0"/>
    <w:rsid w:val="00303483"/>
    <w:rsid w:val="00303580"/>
    <w:rsid w:val="003135DF"/>
    <w:rsid w:val="0031366E"/>
    <w:rsid w:val="00313C30"/>
    <w:rsid w:val="0031455E"/>
    <w:rsid w:val="00316BAC"/>
    <w:rsid w:val="003226DE"/>
    <w:rsid w:val="00324002"/>
    <w:rsid w:val="003265A8"/>
    <w:rsid w:val="003344C0"/>
    <w:rsid w:val="003435C0"/>
    <w:rsid w:val="00344469"/>
    <w:rsid w:val="003505DA"/>
    <w:rsid w:val="0035395E"/>
    <w:rsid w:val="00357FCD"/>
    <w:rsid w:val="00374A97"/>
    <w:rsid w:val="003776A6"/>
    <w:rsid w:val="00385CF5"/>
    <w:rsid w:val="003A3403"/>
    <w:rsid w:val="003A70A8"/>
    <w:rsid w:val="003C2791"/>
    <w:rsid w:val="003D24FA"/>
    <w:rsid w:val="003D53F8"/>
    <w:rsid w:val="003D5484"/>
    <w:rsid w:val="003E21C1"/>
    <w:rsid w:val="003E3CFE"/>
    <w:rsid w:val="003E5789"/>
    <w:rsid w:val="003E716C"/>
    <w:rsid w:val="003F012C"/>
    <w:rsid w:val="003F4300"/>
    <w:rsid w:val="003F4D2B"/>
    <w:rsid w:val="0040243F"/>
    <w:rsid w:val="0040254B"/>
    <w:rsid w:val="004109F5"/>
    <w:rsid w:val="00410F92"/>
    <w:rsid w:val="004152DD"/>
    <w:rsid w:val="004159D7"/>
    <w:rsid w:val="0042036D"/>
    <w:rsid w:val="0042096A"/>
    <w:rsid w:val="00426945"/>
    <w:rsid w:val="00434066"/>
    <w:rsid w:val="00434F0C"/>
    <w:rsid w:val="00435AC3"/>
    <w:rsid w:val="00437EC2"/>
    <w:rsid w:val="00442F97"/>
    <w:rsid w:val="0044371B"/>
    <w:rsid w:val="00443D39"/>
    <w:rsid w:val="00454737"/>
    <w:rsid w:val="004653B3"/>
    <w:rsid w:val="00473D20"/>
    <w:rsid w:val="00475BD1"/>
    <w:rsid w:val="00481E69"/>
    <w:rsid w:val="004868E6"/>
    <w:rsid w:val="004876F5"/>
    <w:rsid w:val="00491D61"/>
    <w:rsid w:val="00496C70"/>
    <w:rsid w:val="004A14ED"/>
    <w:rsid w:val="004A2CF0"/>
    <w:rsid w:val="004A6AA8"/>
    <w:rsid w:val="004B57D1"/>
    <w:rsid w:val="004C1D2B"/>
    <w:rsid w:val="004C2794"/>
    <w:rsid w:val="004C3197"/>
    <w:rsid w:val="004C590E"/>
    <w:rsid w:val="004C7BAE"/>
    <w:rsid w:val="004D02A6"/>
    <w:rsid w:val="004D3DBA"/>
    <w:rsid w:val="004D63C3"/>
    <w:rsid w:val="004E4E1E"/>
    <w:rsid w:val="004F18ED"/>
    <w:rsid w:val="004F2E86"/>
    <w:rsid w:val="004F52B0"/>
    <w:rsid w:val="0052230A"/>
    <w:rsid w:val="00523108"/>
    <w:rsid w:val="00540338"/>
    <w:rsid w:val="0054073E"/>
    <w:rsid w:val="00542B1B"/>
    <w:rsid w:val="0054546E"/>
    <w:rsid w:val="00546121"/>
    <w:rsid w:val="005470CF"/>
    <w:rsid w:val="0056314D"/>
    <w:rsid w:val="00572585"/>
    <w:rsid w:val="00580088"/>
    <w:rsid w:val="00591560"/>
    <w:rsid w:val="005A05E3"/>
    <w:rsid w:val="005A5B8E"/>
    <w:rsid w:val="005B4B07"/>
    <w:rsid w:val="005B7729"/>
    <w:rsid w:val="005C24C6"/>
    <w:rsid w:val="005C279C"/>
    <w:rsid w:val="005C713C"/>
    <w:rsid w:val="005D017D"/>
    <w:rsid w:val="005D1987"/>
    <w:rsid w:val="005D2DF0"/>
    <w:rsid w:val="005D60E2"/>
    <w:rsid w:val="005D7CAD"/>
    <w:rsid w:val="005E17EB"/>
    <w:rsid w:val="005E217E"/>
    <w:rsid w:val="005F1831"/>
    <w:rsid w:val="00603724"/>
    <w:rsid w:val="0061022E"/>
    <w:rsid w:val="00610414"/>
    <w:rsid w:val="00610AA4"/>
    <w:rsid w:val="00623610"/>
    <w:rsid w:val="006261A1"/>
    <w:rsid w:val="00631512"/>
    <w:rsid w:val="00643033"/>
    <w:rsid w:val="00654BCA"/>
    <w:rsid w:val="0066219B"/>
    <w:rsid w:val="006668BD"/>
    <w:rsid w:val="00667B58"/>
    <w:rsid w:val="006715AA"/>
    <w:rsid w:val="00671609"/>
    <w:rsid w:val="00680DDB"/>
    <w:rsid w:val="006821B8"/>
    <w:rsid w:val="00682869"/>
    <w:rsid w:val="00684D89"/>
    <w:rsid w:val="0068545E"/>
    <w:rsid w:val="00687A7C"/>
    <w:rsid w:val="00692CAC"/>
    <w:rsid w:val="006937C9"/>
    <w:rsid w:val="006A2431"/>
    <w:rsid w:val="006A33EC"/>
    <w:rsid w:val="006A79BF"/>
    <w:rsid w:val="006B27BC"/>
    <w:rsid w:val="006C3D4D"/>
    <w:rsid w:val="006C7DA0"/>
    <w:rsid w:val="006D3BD1"/>
    <w:rsid w:val="006D3E3D"/>
    <w:rsid w:val="006D7736"/>
    <w:rsid w:val="006E5366"/>
    <w:rsid w:val="006F3BDF"/>
    <w:rsid w:val="0070097E"/>
    <w:rsid w:val="00711DBA"/>
    <w:rsid w:val="00711F55"/>
    <w:rsid w:val="0072383E"/>
    <w:rsid w:val="007240F9"/>
    <w:rsid w:val="007301D1"/>
    <w:rsid w:val="00730407"/>
    <w:rsid w:val="0073284D"/>
    <w:rsid w:val="00734916"/>
    <w:rsid w:val="00745457"/>
    <w:rsid w:val="0075000A"/>
    <w:rsid w:val="007502E5"/>
    <w:rsid w:val="00750A8E"/>
    <w:rsid w:val="00751D5B"/>
    <w:rsid w:val="00753C35"/>
    <w:rsid w:val="00757822"/>
    <w:rsid w:val="00767348"/>
    <w:rsid w:val="00773050"/>
    <w:rsid w:val="007733EB"/>
    <w:rsid w:val="0077460A"/>
    <w:rsid w:val="0078139E"/>
    <w:rsid w:val="007844E3"/>
    <w:rsid w:val="0078515D"/>
    <w:rsid w:val="00785AF6"/>
    <w:rsid w:val="0078641B"/>
    <w:rsid w:val="00792B4E"/>
    <w:rsid w:val="0079586A"/>
    <w:rsid w:val="007A0DF7"/>
    <w:rsid w:val="007A4349"/>
    <w:rsid w:val="007A5EE0"/>
    <w:rsid w:val="007A5F2F"/>
    <w:rsid w:val="007C0832"/>
    <w:rsid w:val="007C1840"/>
    <w:rsid w:val="007C59DC"/>
    <w:rsid w:val="007C760D"/>
    <w:rsid w:val="007D2C86"/>
    <w:rsid w:val="007D4AA1"/>
    <w:rsid w:val="007E2476"/>
    <w:rsid w:val="007E39D5"/>
    <w:rsid w:val="007F1515"/>
    <w:rsid w:val="007F161B"/>
    <w:rsid w:val="007F3ED7"/>
    <w:rsid w:val="007F645D"/>
    <w:rsid w:val="0080314C"/>
    <w:rsid w:val="00804ADF"/>
    <w:rsid w:val="0081095E"/>
    <w:rsid w:val="00812841"/>
    <w:rsid w:val="00824BB3"/>
    <w:rsid w:val="0083105F"/>
    <w:rsid w:val="0083165E"/>
    <w:rsid w:val="0083256F"/>
    <w:rsid w:val="0083719B"/>
    <w:rsid w:val="00841143"/>
    <w:rsid w:val="00843DDB"/>
    <w:rsid w:val="00855AC6"/>
    <w:rsid w:val="008577B2"/>
    <w:rsid w:val="0086000B"/>
    <w:rsid w:val="00870BDD"/>
    <w:rsid w:val="008770FD"/>
    <w:rsid w:val="008849BB"/>
    <w:rsid w:val="008902D5"/>
    <w:rsid w:val="00890613"/>
    <w:rsid w:val="00890C94"/>
    <w:rsid w:val="00892CAB"/>
    <w:rsid w:val="00894EAC"/>
    <w:rsid w:val="008A4D8F"/>
    <w:rsid w:val="008A6E3C"/>
    <w:rsid w:val="008B1C1C"/>
    <w:rsid w:val="008B2426"/>
    <w:rsid w:val="008B292E"/>
    <w:rsid w:val="008B4392"/>
    <w:rsid w:val="008B6006"/>
    <w:rsid w:val="008B7F7E"/>
    <w:rsid w:val="008C20DF"/>
    <w:rsid w:val="008C3545"/>
    <w:rsid w:val="008C7FFD"/>
    <w:rsid w:val="008D1CD9"/>
    <w:rsid w:val="008D605A"/>
    <w:rsid w:val="008E3BC7"/>
    <w:rsid w:val="008F324A"/>
    <w:rsid w:val="008F522B"/>
    <w:rsid w:val="008F5678"/>
    <w:rsid w:val="009023C5"/>
    <w:rsid w:val="009156BF"/>
    <w:rsid w:val="00932963"/>
    <w:rsid w:val="00935365"/>
    <w:rsid w:val="0094154C"/>
    <w:rsid w:val="00942E0C"/>
    <w:rsid w:val="00945406"/>
    <w:rsid w:val="00950993"/>
    <w:rsid w:val="00951311"/>
    <w:rsid w:val="00951701"/>
    <w:rsid w:val="0095327C"/>
    <w:rsid w:val="00955A30"/>
    <w:rsid w:val="00955CDE"/>
    <w:rsid w:val="00956AB8"/>
    <w:rsid w:val="0096175D"/>
    <w:rsid w:val="00963D67"/>
    <w:rsid w:val="00963F2F"/>
    <w:rsid w:val="0096464F"/>
    <w:rsid w:val="009666FE"/>
    <w:rsid w:val="00971771"/>
    <w:rsid w:val="00971776"/>
    <w:rsid w:val="0099528B"/>
    <w:rsid w:val="00997528"/>
    <w:rsid w:val="009976D0"/>
    <w:rsid w:val="009A3FFA"/>
    <w:rsid w:val="009A53CA"/>
    <w:rsid w:val="009B11D1"/>
    <w:rsid w:val="009C056C"/>
    <w:rsid w:val="009C15D6"/>
    <w:rsid w:val="009C3F25"/>
    <w:rsid w:val="009C4158"/>
    <w:rsid w:val="009C49DB"/>
    <w:rsid w:val="009C57F4"/>
    <w:rsid w:val="009D0FF6"/>
    <w:rsid w:val="009E262D"/>
    <w:rsid w:val="009E279D"/>
    <w:rsid w:val="009E386E"/>
    <w:rsid w:val="009E4F51"/>
    <w:rsid w:val="009E728B"/>
    <w:rsid w:val="009F166E"/>
    <w:rsid w:val="00A03637"/>
    <w:rsid w:val="00A0407D"/>
    <w:rsid w:val="00A133B9"/>
    <w:rsid w:val="00A16309"/>
    <w:rsid w:val="00A20C59"/>
    <w:rsid w:val="00A260D4"/>
    <w:rsid w:val="00A31256"/>
    <w:rsid w:val="00A3132A"/>
    <w:rsid w:val="00A32F6A"/>
    <w:rsid w:val="00A37690"/>
    <w:rsid w:val="00A43A04"/>
    <w:rsid w:val="00A478F8"/>
    <w:rsid w:val="00A6385A"/>
    <w:rsid w:val="00A63B59"/>
    <w:rsid w:val="00A67EC7"/>
    <w:rsid w:val="00A74058"/>
    <w:rsid w:val="00A75AE0"/>
    <w:rsid w:val="00A84EA1"/>
    <w:rsid w:val="00A85121"/>
    <w:rsid w:val="00A8523A"/>
    <w:rsid w:val="00AA143C"/>
    <w:rsid w:val="00AA3F9C"/>
    <w:rsid w:val="00AA795B"/>
    <w:rsid w:val="00AB0195"/>
    <w:rsid w:val="00AB37BD"/>
    <w:rsid w:val="00AB408C"/>
    <w:rsid w:val="00AB55F9"/>
    <w:rsid w:val="00AB68AA"/>
    <w:rsid w:val="00AC17FD"/>
    <w:rsid w:val="00AC3860"/>
    <w:rsid w:val="00AC5FBA"/>
    <w:rsid w:val="00AC6A1D"/>
    <w:rsid w:val="00AD1C01"/>
    <w:rsid w:val="00AD2115"/>
    <w:rsid w:val="00AE6DDB"/>
    <w:rsid w:val="00AF2583"/>
    <w:rsid w:val="00B011F5"/>
    <w:rsid w:val="00B1760C"/>
    <w:rsid w:val="00B17FD9"/>
    <w:rsid w:val="00B2039A"/>
    <w:rsid w:val="00B21716"/>
    <w:rsid w:val="00B2202D"/>
    <w:rsid w:val="00B221C8"/>
    <w:rsid w:val="00B227B1"/>
    <w:rsid w:val="00B22AD1"/>
    <w:rsid w:val="00B231DD"/>
    <w:rsid w:val="00B25B7D"/>
    <w:rsid w:val="00B31CCC"/>
    <w:rsid w:val="00B43D86"/>
    <w:rsid w:val="00B451AE"/>
    <w:rsid w:val="00B45905"/>
    <w:rsid w:val="00B506BF"/>
    <w:rsid w:val="00B53CA2"/>
    <w:rsid w:val="00B80A28"/>
    <w:rsid w:val="00B81CF2"/>
    <w:rsid w:val="00B93102"/>
    <w:rsid w:val="00BA60F2"/>
    <w:rsid w:val="00BB006B"/>
    <w:rsid w:val="00BB170D"/>
    <w:rsid w:val="00BB28E8"/>
    <w:rsid w:val="00BB7783"/>
    <w:rsid w:val="00BC1E5A"/>
    <w:rsid w:val="00BC441D"/>
    <w:rsid w:val="00BC5EB7"/>
    <w:rsid w:val="00BC60CD"/>
    <w:rsid w:val="00BD3422"/>
    <w:rsid w:val="00BE2486"/>
    <w:rsid w:val="00BE5EE1"/>
    <w:rsid w:val="00C03C51"/>
    <w:rsid w:val="00C05708"/>
    <w:rsid w:val="00C07EE4"/>
    <w:rsid w:val="00C115BF"/>
    <w:rsid w:val="00C14FAF"/>
    <w:rsid w:val="00C16A8D"/>
    <w:rsid w:val="00C210D8"/>
    <w:rsid w:val="00C22615"/>
    <w:rsid w:val="00C26587"/>
    <w:rsid w:val="00C46DAB"/>
    <w:rsid w:val="00C57718"/>
    <w:rsid w:val="00C6551B"/>
    <w:rsid w:val="00C6679F"/>
    <w:rsid w:val="00C72742"/>
    <w:rsid w:val="00C75E78"/>
    <w:rsid w:val="00C765C7"/>
    <w:rsid w:val="00C80164"/>
    <w:rsid w:val="00C8470B"/>
    <w:rsid w:val="00C86C34"/>
    <w:rsid w:val="00C94011"/>
    <w:rsid w:val="00C95A8E"/>
    <w:rsid w:val="00CA171F"/>
    <w:rsid w:val="00CA20E4"/>
    <w:rsid w:val="00CA50BB"/>
    <w:rsid w:val="00CB022A"/>
    <w:rsid w:val="00CB7354"/>
    <w:rsid w:val="00CC05B3"/>
    <w:rsid w:val="00CC079D"/>
    <w:rsid w:val="00CC13A9"/>
    <w:rsid w:val="00CC24F0"/>
    <w:rsid w:val="00CC38DA"/>
    <w:rsid w:val="00CC482A"/>
    <w:rsid w:val="00CC4D48"/>
    <w:rsid w:val="00CC6280"/>
    <w:rsid w:val="00CC7AF5"/>
    <w:rsid w:val="00CD13D8"/>
    <w:rsid w:val="00CD38D9"/>
    <w:rsid w:val="00CE2CD2"/>
    <w:rsid w:val="00CE4E94"/>
    <w:rsid w:val="00CF2862"/>
    <w:rsid w:val="00D02C18"/>
    <w:rsid w:val="00D147DC"/>
    <w:rsid w:val="00D16870"/>
    <w:rsid w:val="00D21667"/>
    <w:rsid w:val="00D22D48"/>
    <w:rsid w:val="00D2726D"/>
    <w:rsid w:val="00D30B26"/>
    <w:rsid w:val="00D366A9"/>
    <w:rsid w:val="00D40C50"/>
    <w:rsid w:val="00D41334"/>
    <w:rsid w:val="00D432DF"/>
    <w:rsid w:val="00D47E6F"/>
    <w:rsid w:val="00D511D5"/>
    <w:rsid w:val="00D513AC"/>
    <w:rsid w:val="00D51D05"/>
    <w:rsid w:val="00D53A7D"/>
    <w:rsid w:val="00D62090"/>
    <w:rsid w:val="00D63326"/>
    <w:rsid w:val="00D65159"/>
    <w:rsid w:val="00D65697"/>
    <w:rsid w:val="00D8345E"/>
    <w:rsid w:val="00D84417"/>
    <w:rsid w:val="00D85A92"/>
    <w:rsid w:val="00D959E4"/>
    <w:rsid w:val="00D965AB"/>
    <w:rsid w:val="00DA1CE8"/>
    <w:rsid w:val="00DA5D10"/>
    <w:rsid w:val="00DB1FA9"/>
    <w:rsid w:val="00DB27C7"/>
    <w:rsid w:val="00DB50DF"/>
    <w:rsid w:val="00DC0AE3"/>
    <w:rsid w:val="00DC5CFF"/>
    <w:rsid w:val="00DD2047"/>
    <w:rsid w:val="00DD774D"/>
    <w:rsid w:val="00DE3EE1"/>
    <w:rsid w:val="00E136AD"/>
    <w:rsid w:val="00E204AD"/>
    <w:rsid w:val="00E2551B"/>
    <w:rsid w:val="00E263FC"/>
    <w:rsid w:val="00E275CA"/>
    <w:rsid w:val="00E5238E"/>
    <w:rsid w:val="00E538EF"/>
    <w:rsid w:val="00E600C2"/>
    <w:rsid w:val="00E621BB"/>
    <w:rsid w:val="00E62F26"/>
    <w:rsid w:val="00E64000"/>
    <w:rsid w:val="00E810F0"/>
    <w:rsid w:val="00E81D20"/>
    <w:rsid w:val="00E8716C"/>
    <w:rsid w:val="00E931E4"/>
    <w:rsid w:val="00EA2061"/>
    <w:rsid w:val="00EA2D98"/>
    <w:rsid w:val="00EA31C0"/>
    <w:rsid w:val="00EA4C7F"/>
    <w:rsid w:val="00EA7481"/>
    <w:rsid w:val="00EB53A1"/>
    <w:rsid w:val="00EB62C2"/>
    <w:rsid w:val="00EC6EC4"/>
    <w:rsid w:val="00ED1D02"/>
    <w:rsid w:val="00ED4E67"/>
    <w:rsid w:val="00EE596B"/>
    <w:rsid w:val="00EF4B40"/>
    <w:rsid w:val="00EF4F4C"/>
    <w:rsid w:val="00EF68C8"/>
    <w:rsid w:val="00EF69DC"/>
    <w:rsid w:val="00EF7684"/>
    <w:rsid w:val="00F00BE1"/>
    <w:rsid w:val="00F0229B"/>
    <w:rsid w:val="00F02310"/>
    <w:rsid w:val="00F05214"/>
    <w:rsid w:val="00F112B4"/>
    <w:rsid w:val="00F11E08"/>
    <w:rsid w:val="00F135E9"/>
    <w:rsid w:val="00F212E5"/>
    <w:rsid w:val="00F26E8B"/>
    <w:rsid w:val="00F33D3C"/>
    <w:rsid w:val="00F36AFC"/>
    <w:rsid w:val="00F5009C"/>
    <w:rsid w:val="00F502BF"/>
    <w:rsid w:val="00F54A71"/>
    <w:rsid w:val="00F57D46"/>
    <w:rsid w:val="00F6053E"/>
    <w:rsid w:val="00F60CF9"/>
    <w:rsid w:val="00F62C9A"/>
    <w:rsid w:val="00F63897"/>
    <w:rsid w:val="00F65C7E"/>
    <w:rsid w:val="00F70790"/>
    <w:rsid w:val="00F7444C"/>
    <w:rsid w:val="00F7482C"/>
    <w:rsid w:val="00F75B00"/>
    <w:rsid w:val="00F813D1"/>
    <w:rsid w:val="00F85935"/>
    <w:rsid w:val="00F85D0E"/>
    <w:rsid w:val="00F91817"/>
    <w:rsid w:val="00F9251D"/>
    <w:rsid w:val="00F92EC5"/>
    <w:rsid w:val="00F94556"/>
    <w:rsid w:val="00F974E8"/>
    <w:rsid w:val="00F97F26"/>
    <w:rsid w:val="00FA0EA9"/>
    <w:rsid w:val="00FA3D10"/>
    <w:rsid w:val="00FA4C5D"/>
    <w:rsid w:val="00FB6593"/>
    <w:rsid w:val="00FC5C50"/>
    <w:rsid w:val="00FD2277"/>
    <w:rsid w:val="00FE548C"/>
    <w:rsid w:val="00FF20CD"/>
    <w:rsid w:val="00FF34E1"/>
    <w:rsid w:val="00FF3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DAE4303"/>
  <w15:docId w15:val="{25F446C7-B083-4898-B941-B07856E7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221F62"/>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F212E5"/>
    <w:pPr>
      <w:keepNext/>
      <w:spacing w:before="240" w:after="120" w:line="240" w:lineRule="auto"/>
      <w:outlineLvl w:val="2"/>
    </w:pPr>
    <w:rPr>
      <w:rFonts w:ascii="Calibri" w:hAnsi="Calibri" w:cs="Arial"/>
      <w:b/>
      <w:bCs/>
      <w:sz w:val="28"/>
      <w:szCs w:val="28"/>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F212E5"/>
    <w:rPr>
      <w:rFonts w:ascii="Calibri" w:hAnsi="Calibri" w:cs="Arial"/>
      <w:b/>
      <w:bCs/>
      <w:sz w:val="28"/>
      <w:szCs w:val="28"/>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39"/>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FC5C50"/>
    <w:pPr>
      <w:spacing w:before="120" w:after="360"/>
    </w:pPr>
    <w:rPr>
      <w:b w:val="0"/>
      <w:color w:val="000000" w:themeColor="text1"/>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FC5C50"/>
    <w:rPr>
      <w:rFonts w:ascii="Calibri" w:hAnsi="Calibri" w:cs="Arial"/>
      <w:b w:val="0"/>
      <w:bCs/>
      <w:iCs/>
      <w:color w:val="000000" w:themeColor="text1"/>
      <w:sz w:val="36"/>
      <w:szCs w:val="28"/>
      <w:lang w:eastAsia="en-AU"/>
    </w:rPr>
  </w:style>
  <w:style w:type="paragraph" w:styleId="Caption">
    <w:name w:val="caption"/>
    <w:basedOn w:val="Normal"/>
    <w:next w:val="Normal"/>
    <w:autoRedefine/>
    <w:uiPriority w:val="35"/>
    <w:unhideWhenUsed/>
    <w:qFormat/>
    <w:locked/>
    <w:rsid w:val="007A4349"/>
    <w:pPr>
      <w:spacing w:line="240" w:lineRule="auto"/>
      <w:jc w:val="center"/>
    </w:pPr>
    <w:rPr>
      <w:rFonts w:asciiTheme="minorHAnsi" w:hAnsiTheme="minorHAnsi" w:cstheme="minorHAnsi"/>
      <w:b/>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paragraph" w:customStyle="1" w:styleId="Default">
    <w:name w:val="Default"/>
    <w:rsid w:val="0054612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locked/>
    <w:rsid w:val="00546121"/>
    <w:rPr>
      <w:color w:val="0000FF" w:themeColor="hyperlink"/>
      <w:u w:val="single"/>
    </w:rPr>
  </w:style>
  <w:style w:type="paragraph" w:customStyle="1" w:styleId="NumberedStandardParagraph">
    <w:name w:val="Numbered Standard Paragraph"/>
    <w:basedOn w:val="Normal"/>
    <w:qFormat/>
    <w:rsid w:val="00B506BF"/>
    <w:pPr>
      <w:numPr>
        <w:numId w:val="5"/>
      </w:numPr>
      <w:spacing w:line="280" w:lineRule="atLeast"/>
      <w:jc w:val="both"/>
    </w:pPr>
    <w:rPr>
      <w:rFonts w:asciiTheme="minorHAnsi" w:eastAsia="Times New Roman" w:hAnsiTheme="minorHAnsi" w:cstheme="minorHAnsi"/>
      <w:szCs w:val="20"/>
      <w:lang w:eastAsia="en-US"/>
    </w:rPr>
  </w:style>
  <w:style w:type="character" w:styleId="CommentReference">
    <w:name w:val="annotation reference"/>
    <w:basedOn w:val="DefaultParagraphFont"/>
    <w:uiPriority w:val="99"/>
    <w:semiHidden/>
    <w:unhideWhenUsed/>
    <w:locked/>
    <w:rsid w:val="008F324A"/>
    <w:rPr>
      <w:sz w:val="16"/>
      <w:szCs w:val="16"/>
    </w:rPr>
  </w:style>
  <w:style w:type="paragraph" w:styleId="CommentText">
    <w:name w:val="annotation text"/>
    <w:basedOn w:val="Normal"/>
    <w:link w:val="CommentTextChar"/>
    <w:uiPriority w:val="99"/>
    <w:unhideWhenUsed/>
    <w:locked/>
    <w:rsid w:val="008F324A"/>
    <w:pPr>
      <w:spacing w:line="240" w:lineRule="auto"/>
    </w:pPr>
    <w:rPr>
      <w:sz w:val="20"/>
      <w:szCs w:val="20"/>
    </w:rPr>
  </w:style>
  <w:style w:type="character" w:customStyle="1" w:styleId="CommentTextChar">
    <w:name w:val="Comment Text Char"/>
    <w:basedOn w:val="DefaultParagraphFont"/>
    <w:link w:val="CommentText"/>
    <w:uiPriority w:val="99"/>
    <w:rsid w:val="008F324A"/>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8F324A"/>
    <w:rPr>
      <w:b/>
      <w:bCs/>
    </w:rPr>
  </w:style>
  <w:style w:type="character" w:customStyle="1" w:styleId="CommentSubjectChar">
    <w:name w:val="Comment Subject Char"/>
    <w:basedOn w:val="CommentTextChar"/>
    <w:link w:val="CommentSubject"/>
    <w:uiPriority w:val="99"/>
    <w:semiHidden/>
    <w:rsid w:val="008F324A"/>
    <w:rPr>
      <w:rFonts w:ascii="Calibri" w:hAnsi="Calibri" w:cs="Calibri"/>
      <w:b/>
      <w:bCs/>
      <w:sz w:val="20"/>
      <w:szCs w:val="20"/>
      <w:lang w:eastAsia="en-AU"/>
    </w:rPr>
  </w:style>
  <w:style w:type="paragraph" w:styleId="Revision">
    <w:name w:val="Revision"/>
    <w:hidden/>
    <w:uiPriority w:val="99"/>
    <w:semiHidden/>
    <w:rsid w:val="00066BD7"/>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locked/>
    <w:rsid w:val="00F33D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445">
      <w:bodyDiv w:val="1"/>
      <w:marLeft w:val="0"/>
      <w:marRight w:val="0"/>
      <w:marTop w:val="0"/>
      <w:marBottom w:val="0"/>
      <w:divBdr>
        <w:top w:val="none" w:sz="0" w:space="0" w:color="auto"/>
        <w:left w:val="none" w:sz="0" w:space="0" w:color="auto"/>
        <w:bottom w:val="none" w:sz="0" w:space="0" w:color="auto"/>
        <w:right w:val="none" w:sz="0" w:space="0" w:color="auto"/>
      </w:divBdr>
    </w:div>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270746672">
      <w:bodyDiv w:val="1"/>
      <w:marLeft w:val="0"/>
      <w:marRight w:val="0"/>
      <w:marTop w:val="0"/>
      <w:marBottom w:val="0"/>
      <w:divBdr>
        <w:top w:val="none" w:sz="0" w:space="0" w:color="auto"/>
        <w:left w:val="none" w:sz="0" w:space="0" w:color="auto"/>
        <w:bottom w:val="none" w:sz="0" w:space="0" w:color="auto"/>
        <w:right w:val="none" w:sz="0" w:space="0" w:color="auto"/>
      </w:divBdr>
    </w:div>
    <w:div w:id="665325116">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fts@aps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fts@aps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65857967-e8c9-4063-9a29-bba3c199914d">
      <Terms xmlns="http://schemas.microsoft.com/office/infopath/2007/PartnerControls"/>
    </jd1c641577414dfdab1686c9d5d0dbd0>
    <ShareHubID xmlns="65857967-e8c9-4063-9a29-bba3c199914d">SHD21-88316</ShareHubID>
    <TaxCatchAll xmlns="65857967-e8c9-4063-9a29-bba3c199914d">
      <Value>5</Value>
    </TaxCatchAll>
    <PMCNotes xmlns="65857967-e8c9-4063-9a29-bba3c199914d" xsi:nil="true"/>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2.xml><?xml version="1.0" encoding="utf-8"?>
<ds:datastoreItem xmlns:ds="http://schemas.openxmlformats.org/officeDocument/2006/customXml" ds:itemID="{EB7ABC66-0CD1-4034-9C38-037072EBD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649AF-3E16-4466-B634-116361A751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65857967-e8c9-4063-9a29-bba3c199914d"/>
    <ds:schemaRef ds:uri="http://www.w3.org/XML/1998/namespace"/>
    <ds:schemaRef ds:uri="http://purl.org/dc/dcmitype/"/>
  </ds:schemaRefs>
</ds:datastoreItem>
</file>

<file path=customXml/itemProps4.xml><?xml version="1.0" encoding="utf-8"?>
<ds:datastoreItem xmlns:ds="http://schemas.openxmlformats.org/officeDocument/2006/customXml" ds:itemID="{AD59E11B-060B-48FC-9C9D-84727DF4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26</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Guidance for Agency Heads—Gifts and Benefits</vt:lpstr>
    </vt:vector>
  </TitlesOfParts>
  <Company>Australian Government</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Agency Heads—Gifts and Benefits</dc:title>
  <dc:subject/>
  <dc:creator>Australian Public Service Commission</dc:creator>
  <cp:keywords/>
  <dc:description/>
  <cp:lastModifiedBy>Hall, Daniel</cp:lastModifiedBy>
  <cp:revision>11</cp:revision>
  <cp:lastPrinted>2019-09-25T06:59:00Z</cp:lastPrinted>
  <dcterms:created xsi:type="dcterms:W3CDTF">2021-11-12T05:20:00Z</dcterms:created>
  <dcterms:modified xsi:type="dcterms:W3CDTF">2021-11-16T04:31:00Z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NonRecordJustification">
    <vt:lpwstr>None</vt:lpwstr>
  </property>
  <property fmtid="{D5CDD505-2E9C-101B-9397-08002B2CF9AE}" pid="6" name="jd1c641577414dfdab1686c9d5d0dbd0">
    <vt:lpwstr/>
  </property>
  <property fmtid="{D5CDD505-2E9C-101B-9397-08002B2CF9AE}" pid="7" name="ShareHubID">
    <vt:lpwstr>SHD19-23581</vt:lpwstr>
  </property>
  <property fmtid="{D5CDD505-2E9C-101B-9397-08002B2CF9AE}" pid="8" name="TaxCatchAll">
    <vt:lpwstr>5;#</vt:lpwstr>
  </property>
  <property fmtid="{D5CDD505-2E9C-101B-9397-08002B2CF9AE}" pid="9" name="PMCNotes">
    <vt:lpwstr/>
  </property>
  <property fmtid="{D5CDD505-2E9C-101B-9397-08002B2CF9AE}" pid="10" name="mc5611b894cf49d8aeeb8ebf39dc09bc">
    <vt:lpwstr>OFFICIAL|11463c70-78df-4e3b-b0ff-f66cd3cb26ec</vt:lpwstr>
  </property>
</Properties>
</file>