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EF31C" w14:textId="6B1D0832" w:rsidR="006D7853" w:rsidRPr="006D7853" w:rsidRDefault="00C955D7" w:rsidP="00C955D7">
      <w:pPr>
        <w:tabs>
          <w:tab w:val="left" w:pos="6741"/>
        </w:tabs>
        <w:spacing w:before="2000"/>
        <w:rPr>
          <w:rFonts w:ascii="Times New Roman" w:eastAsia="Times New Roman" w:hAnsi="Times New Roman" w:cs="Times New Roman"/>
          <w:sz w:val="20"/>
          <w:szCs w:val="20"/>
          <w:lang w:val="en-US" w:eastAsia="en-US"/>
        </w:rPr>
      </w:pPr>
      <w:r>
        <w:rPr>
          <w:rFonts w:ascii="Times New Roman" w:eastAsia="Times New Roman" w:hAnsi="Times New Roman" w:cs="Times New Roman"/>
          <w:noProof/>
          <w:sz w:val="20"/>
          <w:szCs w:val="20"/>
        </w:rPr>
        <w:drawing>
          <wp:anchor distT="0" distB="0" distL="114300" distR="114300" simplePos="0" relativeHeight="251661824" behindDoc="1" locked="0" layoutInCell="1" allowOverlap="1" wp14:anchorId="225CF86B" wp14:editId="4DB3545F">
            <wp:simplePos x="0" y="0"/>
            <wp:positionH relativeFrom="column">
              <wp:posOffset>-1202747</wp:posOffset>
            </wp:positionH>
            <wp:positionV relativeFrom="paragraph">
              <wp:posOffset>-1014689</wp:posOffset>
            </wp:positionV>
            <wp:extent cx="11429365" cy="1349644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png"/>
                    <pic:cNvPicPr/>
                  </pic:nvPicPr>
                  <pic:blipFill rotWithShape="1">
                    <a:blip r:embed="rId11">
                      <a:extLst>
                        <a:ext uri="{28A0092B-C50C-407E-A947-70E740481C1C}">
                          <a14:useLocalDpi xmlns:a14="http://schemas.microsoft.com/office/drawing/2010/main" val="0"/>
                        </a:ext>
                      </a:extLst>
                    </a:blip>
                    <a:srcRect t="44244"/>
                    <a:stretch/>
                  </pic:blipFill>
                  <pic:spPr bwMode="auto">
                    <a:xfrm>
                      <a:off x="0" y="0"/>
                      <a:ext cx="11429365" cy="1349644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0"/>
          <w:szCs w:val="20"/>
          <w:lang w:val="en-US" w:eastAsia="en-US"/>
        </w:rPr>
        <w:tab/>
      </w:r>
    </w:p>
    <w:p w14:paraId="045D5D2C" w14:textId="189881CD" w:rsidR="006D7853" w:rsidRPr="006D7853" w:rsidRDefault="006D7853" w:rsidP="004E3FEC">
      <w:pPr>
        <w:widowControl w:val="0"/>
        <w:spacing w:before="2000" w:after="0" w:line="200" w:lineRule="atLeast"/>
        <w:jc w:val="center"/>
        <w:rPr>
          <w:rFonts w:ascii="Times New Roman" w:eastAsia="Times New Roman" w:hAnsi="Times New Roman" w:cs="Times New Roman"/>
          <w:sz w:val="28"/>
          <w:szCs w:val="28"/>
          <w:lang w:val="en-US" w:eastAsia="en-US"/>
        </w:rPr>
      </w:pPr>
      <w:r w:rsidRPr="006D7853">
        <w:rPr>
          <w:rFonts w:ascii="Times New Roman" w:eastAsia="Times New Roman" w:hAnsi="Times New Roman" w:cs="Times New Roman"/>
          <w:noProof/>
          <w:sz w:val="20"/>
          <w:szCs w:val="20"/>
        </w:rPr>
        <w:drawing>
          <wp:anchor distT="0" distB="0" distL="114300" distR="114300" simplePos="0" relativeHeight="251656704" behindDoc="0" locked="0" layoutInCell="1" allowOverlap="1" wp14:anchorId="5AD6645D" wp14:editId="2E47DB20">
            <wp:simplePos x="0" y="0"/>
            <wp:positionH relativeFrom="column">
              <wp:posOffset>1904365</wp:posOffset>
            </wp:positionH>
            <wp:positionV relativeFrom="paragraph">
              <wp:posOffset>0</wp:posOffset>
            </wp:positionV>
            <wp:extent cx="2671589" cy="1341005"/>
            <wp:effectExtent l="0" t="0" r="0" b="0"/>
            <wp:wrapTopAndBottom/>
            <wp:docPr id="1" name="image1.png" descr="Australian Government Coat of Arms" title="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1589" cy="1341005"/>
                    </a:xfrm>
                    <a:prstGeom prst="rect">
                      <a:avLst/>
                    </a:prstGeom>
                  </pic:spPr>
                </pic:pic>
              </a:graphicData>
            </a:graphic>
            <wp14:sizeRelH relativeFrom="page">
              <wp14:pctWidth>0</wp14:pctWidth>
            </wp14:sizeRelH>
            <wp14:sizeRelV relativeFrom="page">
              <wp14:pctHeight>0</wp14:pctHeight>
            </wp14:sizeRelV>
          </wp:anchor>
        </w:drawing>
      </w:r>
    </w:p>
    <w:p w14:paraId="0CCC24B9" w14:textId="77777777" w:rsidR="006D7853" w:rsidRPr="006D7853" w:rsidRDefault="006D7853" w:rsidP="006D7853">
      <w:pPr>
        <w:widowControl w:val="0"/>
        <w:spacing w:after="0" w:line="30" w:lineRule="atLeast"/>
        <w:rPr>
          <w:rFonts w:ascii="Times New Roman" w:eastAsia="Times New Roman" w:hAnsi="Times New Roman" w:cs="Times New Roman"/>
          <w:sz w:val="3"/>
          <w:szCs w:val="3"/>
          <w:lang w:val="en-US" w:eastAsia="en-US"/>
        </w:rPr>
      </w:pPr>
      <w:r w:rsidRPr="006D7853">
        <w:rPr>
          <w:rFonts w:ascii="Times New Roman" w:eastAsia="Times New Roman" w:hAnsi="Times New Roman" w:cs="Times New Roman"/>
          <w:noProof/>
          <w:sz w:val="3"/>
          <w:szCs w:val="3"/>
        </w:rPr>
        <mc:AlternateContent>
          <mc:Choice Requires="wpg">
            <w:drawing>
              <wp:anchor distT="0" distB="0" distL="114300" distR="114300" simplePos="0" relativeHeight="251654656" behindDoc="0" locked="0" layoutInCell="1" allowOverlap="1" wp14:anchorId="139BC480" wp14:editId="3BBC894D">
                <wp:simplePos x="0" y="0"/>
                <wp:positionH relativeFrom="column">
                  <wp:posOffset>561340</wp:posOffset>
                </wp:positionH>
                <wp:positionV relativeFrom="paragraph">
                  <wp:posOffset>5080</wp:posOffset>
                </wp:positionV>
                <wp:extent cx="5357004" cy="215169"/>
                <wp:effectExtent l="0" t="0" r="0" b="0"/>
                <wp:wrapTopAndBottom/>
                <wp:docPr id="14" name="Group 8"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7004" cy="215169"/>
                          <a:chOff x="0" y="0"/>
                          <a:chExt cx="3917" cy="31"/>
                        </a:xfrm>
                      </wpg:grpSpPr>
                      <wpg:grpSp>
                        <wpg:cNvPr id="15" name="Group 9"/>
                        <wpg:cNvGrpSpPr>
                          <a:grpSpLocks/>
                        </wpg:cNvGrpSpPr>
                        <wpg:grpSpPr bwMode="auto">
                          <a:xfrm>
                            <a:off x="15" y="15"/>
                            <a:ext cx="3886" cy="2"/>
                            <a:chOff x="15" y="15"/>
                            <a:chExt cx="3886" cy="2"/>
                          </a:xfrm>
                        </wpg:grpSpPr>
                        <wps:wsp>
                          <wps:cNvPr id="16" name="Freeform 10"/>
                          <wps:cNvSpPr>
                            <a:spLocks/>
                          </wps:cNvSpPr>
                          <wps:spPr bwMode="auto">
                            <a:xfrm>
                              <a:off x="15" y="15"/>
                              <a:ext cx="3886" cy="2"/>
                            </a:xfrm>
                            <a:custGeom>
                              <a:avLst/>
                              <a:gdLst>
                                <a:gd name="T0" fmla="+- 0 15 15"/>
                                <a:gd name="T1" fmla="*/ T0 w 3886"/>
                                <a:gd name="T2" fmla="+- 0 3901 15"/>
                                <a:gd name="T3" fmla="*/ T2 w 3886"/>
                              </a:gdLst>
                              <a:ahLst/>
                              <a:cxnLst>
                                <a:cxn ang="0">
                                  <a:pos x="T1" y="0"/>
                                </a:cxn>
                                <a:cxn ang="0">
                                  <a:pos x="T3" y="0"/>
                                </a:cxn>
                              </a:cxnLst>
                              <a:rect l="0" t="0" r="r" b="b"/>
                              <a:pathLst>
                                <a:path w="3886">
                                  <a:moveTo>
                                    <a:pt x="0" y="0"/>
                                  </a:moveTo>
                                  <a:lnTo>
                                    <a:pt x="3886" y="0"/>
                                  </a:lnTo>
                                </a:path>
                              </a:pathLst>
                            </a:custGeom>
                            <a:noFill/>
                            <a:ln w="195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3CDDEC" id="Group 8" o:spid="_x0000_s1026" alt="Decorative" style="position:absolute;margin-left:44.2pt;margin-top:.4pt;width:421.8pt;height:16.95pt;z-index:251654656" coordsize="39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">
                <v:group id="Group 9" o:spid="_x0000_s1027" style="position:absolute;left:15;top:15;width:3886;height:2" coordorigin="15,15" coordsize="3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15;top:15;width:3886;height:2;visibility:visible;mso-wrap-style:square;v-text-anchor:top" coordsize="3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" path="m,l3886,e" filled="f" strokecolor="white" strokeweight="1.54pt">
                    <v:path arrowok="t" o:connecttype="custom" o:connectlocs="0,0;3886,0" o:connectangles="0,0"/>
                  </v:shape>
                </v:group>
                <w10:wrap type="topAndBottom"/>
              </v:group>
            </w:pict>
          </mc:Fallback>
        </mc:AlternateContent>
      </w:r>
    </w:p>
    <w:p w14:paraId="18E57DCD" w14:textId="2E336071" w:rsidR="006D7853" w:rsidRPr="006D7853" w:rsidRDefault="00882F3D" w:rsidP="006D7853">
      <w:pPr>
        <w:widowControl w:val="0"/>
        <w:spacing w:before="5" w:after="0" w:line="277" w:lineRule="auto"/>
        <w:ind w:right="45"/>
        <w:jc w:val="center"/>
        <w:outlineLvl w:val="0"/>
        <w:rPr>
          <w:rFonts w:ascii="Times New Roman" w:eastAsia="Calibri" w:cs="Times New Roman"/>
          <w:color w:val="FFFFFF"/>
          <w:spacing w:val="-1"/>
          <w:sz w:val="52"/>
          <w:lang w:val="en-US" w:eastAsia="en-US"/>
        </w:rPr>
      </w:pPr>
      <w:bookmarkStart w:id="0" w:name="CABINET__HANDBOOK"/>
      <w:bookmarkStart w:id="1" w:name="_bookmark0"/>
      <w:bookmarkEnd w:id="0"/>
      <w:bookmarkEnd w:id="1"/>
      <w:r>
        <w:rPr>
          <w:rFonts w:ascii="Times New Roman" w:eastAsia="Calibri" w:cs="Times New Roman"/>
          <w:color w:val="FFFFFF"/>
          <w:spacing w:val="-1"/>
          <w:sz w:val="52"/>
          <w:lang w:val="en-US" w:eastAsia="en-US"/>
        </w:rPr>
        <w:t>PERFORMANCE BONUS GUIDANCE</w:t>
      </w:r>
    </w:p>
    <w:p w14:paraId="3717CDE8" w14:textId="77777777" w:rsidR="006D7853" w:rsidRPr="006D7853" w:rsidRDefault="006D7853" w:rsidP="006D7853">
      <w:pPr>
        <w:widowControl w:val="0"/>
        <w:spacing w:after="0" w:line="30" w:lineRule="atLeast"/>
        <w:ind w:right="45"/>
        <w:rPr>
          <w:rFonts w:ascii="Times New Roman" w:eastAsia="Times New Roman" w:hAnsi="Times New Roman" w:cs="Times New Roman"/>
          <w:sz w:val="3"/>
          <w:szCs w:val="3"/>
          <w:lang w:val="en-US" w:eastAsia="en-US"/>
        </w:rPr>
      </w:pPr>
      <w:r w:rsidRPr="006D7853">
        <w:rPr>
          <w:rFonts w:ascii="Times New Roman" w:eastAsia="Times New Roman" w:hAnsi="Times New Roman" w:cs="Times New Roman"/>
          <w:noProof/>
          <w:sz w:val="3"/>
          <w:szCs w:val="3"/>
        </w:rPr>
        <mc:AlternateContent>
          <mc:Choice Requires="wpg">
            <w:drawing>
              <wp:anchor distT="0" distB="0" distL="114300" distR="114300" simplePos="0" relativeHeight="251652608" behindDoc="0" locked="0" layoutInCell="1" allowOverlap="1" wp14:anchorId="36DDBF11" wp14:editId="2A95850C">
                <wp:simplePos x="0" y="0"/>
                <wp:positionH relativeFrom="column">
                  <wp:posOffset>561340</wp:posOffset>
                </wp:positionH>
                <wp:positionV relativeFrom="paragraph">
                  <wp:posOffset>635</wp:posOffset>
                </wp:positionV>
                <wp:extent cx="5357004" cy="215169"/>
                <wp:effectExtent l="0" t="0" r="0" b="0"/>
                <wp:wrapTopAndBottom/>
                <wp:docPr id="23" name="Group 8"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7004" cy="215169"/>
                          <a:chOff x="0" y="0"/>
                          <a:chExt cx="3917" cy="31"/>
                        </a:xfrm>
                      </wpg:grpSpPr>
                      <wpg:grpSp>
                        <wpg:cNvPr id="24" name="Group 9"/>
                        <wpg:cNvGrpSpPr>
                          <a:grpSpLocks/>
                        </wpg:cNvGrpSpPr>
                        <wpg:grpSpPr bwMode="auto">
                          <a:xfrm>
                            <a:off x="15" y="15"/>
                            <a:ext cx="3886" cy="2"/>
                            <a:chOff x="15" y="15"/>
                            <a:chExt cx="3886" cy="2"/>
                          </a:xfrm>
                        </wpg:grpSpPr>
                        <wps:wsp>
                          <wps:cNvPr id="25" name="Freeform 10"/>
                          <wps:cNvSpPr>
                            <a:spLocks/>
                          </wps:cNvSpPr>
                          <wps:spPr bwMode="auto">
                            <a:xfrm>
                              <a:off x="15" y="15"/>
                              <a:ext cx="3886" cy="2"/>
                            </a:xfrm>
                            <a:custGeom>
                              <a:avLst/>
                              <a:gdLst>
                                <a:gd name="T0" fmla="+- 0 15 15"/>
                                <a:gd name="T1" fmla="*/ T0 w 3886"/>
                                <a:gd name="T2" fmla="+- 0 3901 15"/>
                                <a:gd name="T3" fmla="*/ T2 w 3886"/>
                              </a:gdLst>
                              <a:ahLst/>
                              <a:cxnLst>
                                <a:cxn ang="0">
                                  <a:pos x="T1" y="0"/>
                                </a:cxn>
                                <a:cxn ang="0">
                                  <a:pos x="T3" y="0"/>
                                </a:cxn>
                              </a:cxnLst>
                              <a:rect l="0" t="0" r="r" b="b"/>
                              <a:pathLst>
                                <a:path w="3886">
                                  <a:moveTo>
                                    <a:pt x="0" y="0"/>
                                  </a:moveTo>
                                  <a:lnTo>
                                    <a:pt x="3886" y="0"/>
                                  </a:lnTo>
                                </a:path>
                              </a:pathLst>
                            </a:custGeom>
                            <a:noFill/>
                            <a:ln w="195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02B1FBD1" id="Group 8" o:spid="_x0000_s1026" alt="Decorative" style="position:absolute;margin-left:44.2pt;margin-top:.05pt;width:421.8pt;height:16.95pt;z-index:251652608" coordsize="39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">
                <v:group id="Group 9" o:spid="_x0000_s1027" style="position:absolute;left:15;top:15;width:3886;height:2" coordorigin="15,15" coordsize="3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 o:spid="_x0000_s1028" style="position:absolute;left:15;top:15;width:3886;height:2;visibility:visible;mso-wrap-style:square;v-text-anchor:top" coordsize="3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" path="m,l3886,e" filled="f" strokecolor="white" strokeweight="1.54pt">
                    <v:path arrowok="t" o:connecttype="custom" o:connectlocs="0,0;3886,0" o:connectangles="0,0"/>
                  </v:shape>
                </v:group>
                <w10:wrap type="topAndBottom"/>
              </v:group>
            </w:pict>
          </mc:Fallback>
        </mc:AlternateContent>
      </w:r>
    </w:p>
    <w:p w14:paraId="523444F2" w14:textId="1DAE5012" w:rsidR="006D7853" w:rsidRPr="006D7853" w:rsidRDefault="00E413A4" w:rsidP="006D7853">
      <w:pPr>
        <w:widowControl w:val="0"/>
        <w:spacing w:before="187" w:after="0" w:line="240" w:lineRule="auto"/>
        <w:ind w:right="45"/>
        <w:jc w:val="center"/>
        <w:rPr>
          <w:rFonts w:ascii="Times New Roman" w:eastAsia="Calibri" w:cs="Times New Roman"/>
          <w:color w:val="FFFFFF"/>
          <w:sz w:val="40"/>
          <w:lang w:val="en-US" w:eastAsia="en-US"/>
        </w:rPr>
      </w:pPr>
      <w:r w:rsidRPr="00E413A4">
        <w:t xml:space="preserve"> </w:t>
      </w:r>
      <w:r w:rsidRPr="00E413A4">
        <w:rPr>
          <w:rFonts w:ascii="Times New Roman" w:eastAsia="Calibri" w:cs="Times New Roman"/>
          <w:color w:val="FFFFFF"/>
          <w:sz w:val="40"/>
          <w:lang w:val="en-US" w:eastAsia="en-US"/>
        </w:rPr>
        <w:t>Principles governing performance bonus use in Commonwealth entities and companies</w:t>
      </w:r>
    </w:p>
    <w:p w14:paraId="03FF9C7E" w14:textId="77777777" w:rsidR="00FB5504" w:rsidRDefault="00FB5504">
      <w:pPr>
        <w:spacing w:after="200" w:line="276" w:lineRule="auto"/>
        <w:sectPr w:rsidR="00FB5504" w:rsidSect="00BB5CF3">
          <w:headerReference w:type="default" r:id="rId13"/>
          <w:footerReference w:type="default" r:id="rId14"/>
          <w:footerReference w:type="first" r:id="rId15"/>
          <w:pgSz w:w="11906" w:h="16838"/>
          <w:pgMar w:top="1418" w:right="851" w:bottom="1134" w:left="851" w:header="851" w:footer="567" w:gutter="0"/>
          <w:pgBorders w:display="firstPage" w:offsetFrom="page">
            <w:top w:val="single" w:sz="12" w:space="24" w:color="FFFFFF" w:themeColor="background1"/>
            <w:left w:val="single" w:sz="12" w:space="24" w:color="FFFFFF" w:themeColor="background1"/>
            <w:bottom w:val="single" w:sz="12" w:space="24" w:color="FFFFFF" w:themeColor="background1"/>
            <w:right w:val="single" w:sz="12" w:space="24" w:color="FFFFFF" w:themeColor="background1"/>
          </w:pgBorders>
          <w:pgNumType w:start="0"/>
          <w:cols w:space="708"/>
          <w:docGrid w:linePitch="360"/>
        </w:sectPr>
      </w:pPr>
    </w:p>
    <w:p w14:paraId="40CC58D5" w14:textId="32A8C6CE" w:rsidR="00C955D7" w:rsidRDefault="00C955D7" w:rsidP="00882F3D">
      <w:pPr>
        <w:pStyle w:val="Title"/>
        <w:rPr>
          <w:rStyle w:val="Heading1Char"/>
          <w:b/>
          <w:color w:val="auto"/>
        </w:rPr>
      </w:pPr>
    </w:p>
    <w:p w14:paraId="0FDF9E5C" w14:textId="59ED8875" w:rsidR="00C955D7" w:rsidRDefault="00C955D7" w:rsidP="00C955D7"/>
    <w:p w14:paraId="0898DA28" w14:textId="29AB7BBC" w:rsidR="00C955D7" w:rsidRDefault="00C955D7" w:rsidP="00C955D7"/>
    <w:p w14:paraId="32B6B164" w14:textId="19540F72" w:rsidR="00C955D7" w:rsidRDefault="00C955D7" w:rsidP="00C955D7"/>
    <w:p w14:paraId="48E1372B" w14:textId="0482A0B7" w:rsidR="00C955D7" w:rsidRDefault="00C955D7" w:rsidP="00C955D7"/>
    <w:p w14:paraId="225C47C0" w14:textId="49D59D3C" w:rsidR="00C955D7" w:rsidRDefault="00C955D7" w:rsidP="00C955D7"/>
    <w:p w14:paraId="22FDD4F3" w14:textId="41E33F0F" w:rsidR="00C955D7" w:rsidRDefault="00C955D7" w:rsidP="00C955D7"/>
    <w:p w14:paraId="45F705CE" w14:textId="73079172" w:rsidR="00C955D7" w:rsidRDefault="00C955D7" w:rsidP="00C955D7"/>
    <w:p w14:paraId="0463C53E" w14:textId="24995FA6" w:rsidR="00C955D7" w:rsidRDefault="00C955D7" w:rsidP="00C955D7"/>
    <w:p w14:paraId="2AF739D9" w14:textId="1EA18609" w:rsidR="00C955D7" w:rsidRDefault="00C955D7" w:rsidP="00C955D7"/>
    <w:p w14:paraId="359FCFE0" w14:textId="251DD8A5" w:rsidR="00C955D7" w:rsidRDefault="00C955D7" w:rsidP="00C955D7"/>
    <w:p w14:paraId="050D093D" w14:textId="33EABE1A" w:rsidR="00C955D7" w:rsidRDefault="00C955D7" w:rsidP="00C955D7"/>
    <w:p w14:paraId="4F8BCBF4" w14:textId="3BC50014" w:rsidR="00C955D7" w:rsidRDefault="00C955D7" w:rsidP="00C955D7"/>
    <w:p w14:paraId="0FA0E3D3" w14:textId="20AB0DFB" w:rsidR="00C955D7" w:rsidRDefault="00C955D7" w:rsidP="00C955D7"/>
    <w:p w14:paraId="03FCED3D" w14:textId="77777777" w:rsidR="001A61F8" w:rsidRDefault="001A61F8" w:rsidP="001A61F8">
      <w:pPr>
        <w:spacing w:before="4"/>
        <w:rPr>
          <w:rFonts w:ascii="Times New Roman" w:eastAsia="Times New Roman" w:hAnsi="Times New Roman" w:cs="Times New Roman"/>
          <w:sz w:val="23"/>
          <w:szCs w:val="23"/>
        </w:rPr>
      </w:pPr>
    </w:p>
    <w:p w14:paraId="4FF633FB" w14:textId="77777777" w:rsidR="001A61F8" w:rsidRDefault="001A61F8" w:rsidP="001A61F8">
      <w:pPr>
        <w:spacing w:line="200" w:lineRule="atLeast"/>
        <w:ind w:left="113"/>
        <w:rPr>
          <w:rFonts w:ascii="Times New Roman" w:eastAsia="Times New Roman" w:hAnsi="Times New Roman" w:cs="Times New Roman"/>
          <w:sz w:val="20"/>
          <w:szCs w:val="20"/>
        </w:rPr>
      </w:pPr>
    </w:p>
    <w:p w14:paraId="5746A479" w14:textId="77777777" w:rsidR="001A61F8" w:rsidRDefault="001A61F8" w:rsidP="001A61F8">
      <w:pPr>
        <w:spacing w:line="200" w:lineRule="atLeast"/>
        <w:ind w:left="113"/>
        <w:rPr>
          <w:rFonts w:ascii="Times New Roman" w:eastAsia="Times New Roman" w:hAnsi="Times New Roman" w:cs="Times New Roman"/>
          <w:sz w:val="20"/>
          <w:szCs w:val="20"/>
        </w:rPr>
      </w:pPr>
    </w:p>
    <w:p w14:paraId="72AC8BAD" w14:textId="77777777" w:rsidR="001A61F8" w:rsidRDefault="001A61F8" w:rsidP="001A61F8">
      <w:pPr>
        <w:spacing w:line="200" w:lineRule="atLeast"/>
        <w:ind w:left="113"/>
        <w:rPr>
          <w:rFonts w:ascii="Times New Roman" w:eastAsia="Times New Roman" w:hAnsi="Times New Roman" w:cs="Times New Roman"/>
          <w:sz w:val="20"/>
          <w:szCs w:val="20"/>
        </w:rPr>
      </w:pPr>
    </w:p>
    <w:p w14:paraId="2C7C624C" w14:textId="77777777" w:rsidR="001A61F8" w:rsidRDefault="001A61F8" w:rsidP="001A61F8">
      <w:pPr>
        <w:spacing w:line="200" w:lineRule="atLeast"/>
        <w:ind w:left="113"/>
        <w:rPr>
          <w:rFonts w:ascii="Times New Roman" w:eastAsia="Times New Roman" w:hAnsi="Times New Roman" w:cs="Times New Roman"/>
          <w:sz w:val="20"/>
          <w:szCs w:val="20"/>
        </w:rPr>
      </w:pPr>
    </w:p>
    <w:p w14:paraId="170C52A8" w14:textId="77777777" w:rsidR="001A61F8" w:rsidRDefault="001A61F8" w:rsidP="001A61F8">
      <w:pPr>
        <w:spacing w:line="200" w:lineRule="atLeast"/>
        <w:ind w:left="113"/>
        <w:rPr>
          <w:rFonts w:ascii="Times New Roman" w:eastAsia="Times New Roman" w:hAnsi="Times New Roman" w:cs="Times New Roman"/>
          <w:sz w:val="20"/>
          <w:szCs w:val="20"/>
        </w:rPr>
      </w:pPr>
    </w:p>
    <w:p w14:paraId="4EF28E78" w14:textId="77777777" w:rsidR="001A61F8" w:rsidRDefault="001A61F8" w:rsidP="001A61F8">
      <w:pPr>
        <w:spacing w:line="200" w:lineRule="atLeast"/>
        <w:ind w:left="113"/>
        <w:rPr>
          <w:rFonts w:ascii="Times New Roman" w:eastAsia="Times New Roman" w:hAnsi="Times New Roman" w:cs="Times New Roman"/>
          <w:sz w:val="20"/>
          <w:szCs w:val="20"/>
        </w:rPr>
      </w:pPr>
    </w:p>
    <w:p w14:paraId="5B89F9F8" w14:textId="77777777" w:rsidR="001A61F8" w:rsidRDefault="001A61F8" w:rsidP="001A61F8">
      <w:pPr>
        <w:spacing w:line="200" w:lineRule="atLeast"/>
        <w:ind w:left="113"/>
        <w:rPr>
          <w:rFonts w:ascii="Times New Roman" w:eastAsia="Times New Roman" w:hAnsi="Times New Roman" w:cs="Times New Roman"/>
          <w:sz w:val="20"/>
          <w:szCs w:val="20"/>
        </w:rPr>
      </w:pPr>
    </w:p>
    <w:p w14:paraId="1925E7CC" w14:textId="2C1FD062" w:rsidR="001A61F8" w:rsidRDefault="001A61F8" w:rsidP="001A61F8">
      <w:pPr>
        <w:spacing w:line="200" w:lineRule="atLeast"/>
        <w:ind w:left="11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7748D25" wp14:editId="7D57B5CE">
            <wp:extent cx="1197428" cy="419100"/>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1197428" cy="419100"/>
                    </a:xfrm>
                    <a:prstGeom prst="rect">
                      <a:avLst/>
                    </a:prstGeom>
                  </pic:spPr>
                </pic:pic>
              </a:graphicData>
            </a:graphic>
          </wp:inline>
        </w:drawing>
      </w:r>
    </w:p>
    <w:p w14:paraId="5E3A3E25" w14:textId="77777777" w:rsidR="001A61F8" w:rsidRDefault="001A61F8" w:rsidP="001A61F8">
      <w:pPr>
        <w:spacing w:before="1"/>
        <w:rPr>
          <w:rFonts w:ascii="Times New Roman" w:eastAsia="Times New Roman" w:hAnsi="Times New Roman" w:cs="Times New Roman"/>
          <w:sz w:val="13"/>
          <w:szCs w:val="13"/>
        </w:rPr>
      </w:pPr>
    </w:p>
    <w:p w14:paraId="7B6F04C1" w14:textId="77777777" w:rsidR="001A61F8" w:rsidRDefault="001A61F8" w:rsidP="001A61F8">
      <w:pPr>
        <w:spacing w:before="76"/>
        <w:ind w:left="113"/>
        <w:rPr>
          <w:rFonts w:ascii="Arial" w:eastAsia="Arial" w:hAnsi="Arial" w:cs="Arial"/>
          <w:sz w:val="20"/>
          <w:szCs w:val="20"/>
        </w:rPr>
      </w:pPr>
      <w:r>
        <w:rPr>
          <w:rFonts w:ascii="Arial" w:hAnsi="Arial"/>
          <w:b/>
          <w:sz w:val="20"/>
        </w:rPr>
        <w:t xml:space="preserve">© </w:t>
      </w:r>
      <w:r>
        <w:rPr>
          <w:rFonts w:ascii="Arial" w:hAnsi="Arial"/>
          <w:b/>
          <w:spacing w:val="-2"/>
          <w:sz w:val="20"/>
        </w:rPr>
        <w:t>Commonwealth</w:t>
      </w:r>
      <w:r>
        <w:rPr>
          <w:rFonts w:ascii="Arial" w:hAnsi="Arial"/>
          <w:b/>
          <w:spacing w:val="1"/>
          <w:sz w:val="20"/>
        </w:rPr>
        <w:t xml:space="preserve"> </w:t>
      </w:r>
      <w:r>
        <w:rPr>
          <w:rFonts w:ascii="Arial" w:hAnsi="Arial"/>
          <w:b/>
          <w:spacing w:val="-1"/>
          <w:sz w:val="20"/>
        </w:rPr>
        <w:t>of</w:t>
      </w:r>
      <w:r>
        <w:rPr>
          <w:rFonts w:ascii="Arial" w:hAnsi="Arial"/>
          <w:b/>
          <w:sz w:val="20"/>
        </w:rPr>
        <w:t xml:space="preserve"> </w:t>
      </w:r>
      <w:r>
        <w:rPr>
          <w:rFonts w:ascii="Arial" w:hAnsi="Arial"/>
          <w:b/>
          <w:spacing w:val="-3"/>
          <w:sz w:val="20"/>
        </w:rPr>
        <w:t>Australia</w:t>
      </w:r>
      <w:r>
        <w:rPr>
          <w:rFonts w:ascii="Arial" w:hAnsi="Arial"/>
          <w:b/>
          <w:spacing w:val="1"/>
          <w:sz w:val="20"/>
        </w:rPr>
        <w:t xml:space="preserve"> </w:t>
      </w:r>
      <w:r>
        <w:rPr>
          <w:rFonts w:ascii="Arial" w:hAnsi="Arial"/>
          <w:b/>
          <w:spacing w:val="-2"/>
          <w:sz w:val="20"/>
        </w:rPr>
        <w:t>2021</w:t>
      </w:r>
    </w:p>
    <w:p w14:paraId="6D164EDB" w14:textId="77777777" w:rsidR="001A61F8" w:rsidRDefault="001A61F8" w:rsidP="001A61F8">
      <w:pPr>
        <w:spacing w:before="8"/>
        <w:rPr>
          <w:rFonts w:ascii="Arial" w:eastAsia="Arial" w:hAnsi="Arial" w:cs="Arial"/>
          <w:b/>
          <w:bCs/>
          <w:sz w:val="15"/>
          <w:szCs w:val="15"/>
        </w:rPr>
      </w:pPr>
    </w:p>
    <w:p w14:paraId="0BDC1362" w14:textId="3DCDE97C" w:rsidR="001A61F8" w:rsidRDefault="001A61F8" w:rsidP="001A61F8">
      <w:pPr>
        <w:pStyle w:val="BodyText"/>
        <w:spacing w:line="250" w:lineRule="auto"/>
        <w:ind w:right="2354"/>
      </w:pPr>
      <w:r>
        <w:rPr>
          <w:spacing w:val="-2"/>
        </w:rPr>
        <w:t>With</w:t>
      </w:r>
      <w:r>
        <w:rPr>
          <w:spacing w:val="2"/>
        </w:rPr>
        <w:t xml:space="preserve"> </w:t>
      </w:r>
      <w:r>
        <w:rPr>
          <w:spacing w:val="-2"/>
        </w:rPr>
        <w:t>the</w:t>
      </w:r>
      <w:r>
        <w:rPr>
          <w:spacing w:val="2"/>
        </w:rPr>
        <w:t xml:space="preserve"> </w:t>
      </w:r>
      <w:r>
        <w:rPr>
          <w:spacing w:val="-2"/>
        </w:rPr>
        <w:t>exception</w:t>
      </w:r>
      <w:r>
        <w:rPr>
          <w:spacing w:val="2"/>
        </w:rPr>
        <w:t xml:space="preserve"> </w:t>
      </w:r>
      <w:r>
        <w:rPr>
          <w:spacing w:val="-1"/>
        </w:rPr>
        <w:t>of</w:t>
      </w:r>
      <w:r>
        <w:rPr>
          <w:spacing w:val="2"/>
        </w:rPr>
        <w:t xml:space="preserve"> </w:t>
      </w:r>
      <w:r>
        <w:rPr>
          <w:spacing w:val="-2"/>
        </w:rPr>
        <w:t>the</w:t>
      </w:r>
      <w:r>
        <w:rPr>
          <w:spacing w:val="2"/>
        </w:rPr>
        <w:t xml:space="preserve"> </w:t>
      </w:r>
      <w:r>
        <w:rPr>
          <w:spacing w:val="-2"/>
        </w:rPr>
        <w:t>Commonwealth</w:t>
      </w:r>
      <w:r>
        <w:rPr>
          <w:spacing w:val="2"/>
        </w:rPr>
        <w:t xml:space="preserve"> </w:t>
      </w:r>
      <w:r>
        <w:rPr>
          <w:spacing w:val="-2"/>
        </w:rPr>
        <w:t>Coat</w:t>
      </w:r>
      <w:r>
        <w:rPr>
          <w:spacing w:val="3"/>
        </w:rPr>
        <w:t xml:space="preserve"> </w:t>
      </w:r>
      <w:r>
        <w:rPr>
          <w:spacing w:val="-1"/>
        </w:rPr>
        <w:t>of</w:t>
      </w:r>
      <w:r>
        <w:rPr>
          <w:spacing w:val="2"/>
        </w:rPr>
        <w:t xml:space="preserve"> </w:t>
      </w:r>
      <w:r>
        <w:rPr>
          <w:spacing w:val="-2"/>
        </w:rPr>
        <w:t>Arms</w:t>
      </w:r>
      <w:r>
        <w:rPr>
          <w:spacing w:val="2"/>
        </w:rPr>
        <w:t xml:space="preserve"> </w:t>
      </w:r>
      <w:r>
        <w:rPr>
          <w:spacing w:val="-2"/>
        </w:rPr>
        <w:t>and</w:t>
      </w:r>
      <w:r>
        <w:rPr>
          <w:spacing w:val="2"/>
        </w:rPr>
        <w:t xml:space="preserve"> </w:t>
      </w:r>
      <w:r>
        <w:rPr>
          <w:spacing w:val="-3"/>
        </w:rPr>
        <w:t>wher</w:t>
      </w:r>
      <w:r>
        <w:rPr>
          <w:spacing w:val="-4"/>
        </w:rPr>
        <w:t>e</w:t>
      </w:r>
      <w:r>
        <w:rPr>
          <w:spacing w:val="2"/>
        </w:rPr>
        <w:t xml:space="preserve"> </w:t>
      </w:r>
      <w:r>
        <w:rPr>
          <w:spacing w:val="-2"/>
        </w:rPr>
        <w:t>otherwise</w:t>
      </w:r>
      <w:r>
        <w:rPr>
          <w:spacing w:val="2"/>
        </w:rPr>
        <w:t xml:space="preserve"> </w:t>
      </w:r>
      <w:r>
        <w:rPr>
          <w:spacing w:val="-2"/>
        </w:rPr>
        <w:t>noted,</w:t>
      </w:r>
      <w:r>
        <w:rPr>
          <w:spacing w:val="41"/>
          <w:w w:val="102"/>
        </w:rPr>
        <w:t xml:space="preserve"> </w:t>
      </w:r>
      <w:r>
        <w:rPr>
          <w:spacing w:val="-3"/>
        </w:rPr>
        <w:t>al</w:t>
      </w:r>
      <w:r>
        <w:t>l</w:t>
      </w:r>
      <w:r>
        <w:rPr>
          <w:spacing w:val="-3"/>
        </w:rPr>
        <w:t xml:space="preserve"> </w:t>
      </w:r>
      <w:r>
        <w:rPr>
          <w:spacing w:val="-2"/>
        </w:rPr>
        <w:t>materia</w:t>
      </w:r>
      <w:r>
        <w:t>l</w:t>
      </w:r>
      <w:r>
        <w:rPr>
          <w:spacing w:val="-3"/>
        </w:rPr>
        <w:t xml:space="preserve"> </w:t>
      </w:r>
      <w:r>
        <w:rPr>
          <w:spacing w:val="-2"/>
        </w:rPr>
        <w:t>p</w:t>
      </w:r>
      <w:r>
        <w:rPr>
          <w:spacing w:val="-6"/>
        </w:rPr>
        <w:t>r</w:t>
      </w:r>
      <w:r>
        <w:rPr>
          <w:spacing w:val="-2"/>
        </w:rPr>
        <w:t>esente</w:t>
      </w:r>
      <w:r>
        <w:t>d</w:t>
      </w:r>
      <w:r>
        <w:rPr>
          <w:spacing w:val="-3"/>
        </w:rPr>
        <w:t xml:space="preserve"> </w:t>
      </w:r>
      <w:r w:rsidRPr="00881426">
        <w:rPr>
          <w:rFonts w:asciiTheme="minorHAnsi" w:hAnsiTheme="minorHAnsi" w:cstheme="minorHAnsi"/>
          <w:spacing w:val="-2"/>
        </w:rPr>
        <w:t>i</w:t>
      </w:r>
      <w:r w:rsidRPr="00881426">
        <w:rPr>
          <w:rFonts w:asciiTheme="minorHAnsi" w:hAnsiTheme="minorHAnsi" w:cstheme="minorHAnsi"/>
        </w:rPr>
        <w:t>n</w:t>
      </w:r>
      <w:r w:rsidRPr="00881426">
        <w:rPr>
          <w:rFonts w:asciiTheme="minorHAnsi" w:hAnsiTheme="minorHAnsi" w:cstheme="minorHAnsi"/>
          <w:spacing w:val="-2"/>
        </w:rPr>
        <w:t xml:space="preserve"> </w:t>
      </w:r>
      <w:r w:rsidRPr="00881426">
        <w:rPr>
          <w:rFonts w:asciiTheme="minorHAnsi" w:hAnsiTheme="minorHAnsi" w:cstheme="minorHAnsi"/>
          <w:i/>
          <w:spacing w:val="-3"/>
        </w:rPr>
        <w:t>Performance Bonus Guidance</w:t>
      </w:r>
      <w:r w:rsidRPr="00881426">
        <w:rPr>
          <w:rFonts w:asciiTheme="minorHAnsi" w:hAnsiTheme="minorHAnsi" w:cstheme="minorHAnsi"/>
          <w:spacing w:val="-3"/>
        </w:rPr>
        <w:t xml:space="preserve"> </w:t>
      </w:r>
      <w:r w:rsidRPr="00881426">
        <w:rPr>
          <w:rFonts w:asciiTheme="minorHAnsi" w:hAnsiTheme="minorHAnsi" w:cstheme="minorHAnsi"/>
          <w:spacing w:val="-2"/>
        </w:rPr>
        <w:t>by</w:t>
      </w:r>
      <w:r>
        <w:rPr>
          <w:spacing w:val="-2"/>
          <w:w w:val="103"/>
        </w:rPr>
        <w:t xml:space="preserve"> </w:t>
      </w:r>
      <w:r>
        <w:rPr>
          <w:spacing w:val="-2"/>
        </w:rPr>
        <w:t>the</w:t>
      </w:r>
      <w:r>
        <w:rPr>
          <w:spacing w:val="-4"/>
        </w:rPr>
        <w:t xml:space="preserve"> </w:t>
      </w:r>
      <w:hyperlink r:id="rId17">
        <w:r w:rsidRPr="001A61F8">
          <w:rPr>
            <w:color w:val="002060"/>
            <w:spacing w:val="-2"/>
            <w:u w:val="single" w:color="828A29"/>
          </w:rPr>
          <w:t>Australian</w:t>
        </w:r>
        <w:r w:rsidRPr="001A61F8">
          <w:rPr>
            <w:color w:val="002060"/>
            <w:spacing w:val="-1"/>
            <w:u w:val="single" w:color="828A29"/>
          </w:rPr>
          <w:t xml:space="preserve"> </w:t>
        </w:r>
        <w:r w:rsidRPr="001A61F8">
          <w:rPr>
            <w:color w:val="002060"/>
            <w:spacing w:val="-2"/>
            <w:u w:val="single" w:color="828A29"/>
          </w:rPr>
          <w:t>Public</w:t>
        </w:r>
        <w:r w:rsidRPr="001A61F8">
          <w:rPr>
            <w:color w:val="002060"/>
            <w:spacing w:val="-1"/>
            <w:u w:val="single" w:color="828A29"/>
          </w:rPr>
          <w:t xml:space="preserve"> </w:t>
        </w:r>
        <w:r w:rsidRPr="001A61F8">
          <w:rPr>
            <w:color w:val="002060"/>
            <w:spacing w:val="-2"/>
            <w:u w:val="single" w:color="828A29"/>
          </w:rPr>
          <w:t>Service</w:t>
        </w:r>
        <w:r w:rsidRPr="001A61F8">
          <w:rPr>
            <w:color w:val="002060"/>
            <w:spacing w:val="-1"/>
            <w:u w:val="single" w:color="828A29"/>
          </w:rPr>
          <w:t xml:space="preserve"> </w:t>
        </w:r>
        <w:r w:rsidRPr="001A61F8">
          <w:rPr>
            <w:color w:val="002060"/>
            <w:spacing w:val="-2"/>
            <w:u w:val="single" w:color="828A29"/>
          </w:rPr>
          <w:t>Commission</w:t>
        </w:r>
        <w:r>
          <w:rPr>
            <w:color w:val="828A29"/>
            <w:spacing w:val="-1"/>
            <w:u w:val="single" w:color="828A29"/>
          </w:rPr>
          <w:t xml:space="preserve"> </w:t>
        </w:r>
      </w:hyperlink>
      <w:r>
        <w:rPr>
          <w:spacing w:val="-1"/>
        </w:rPr>
        <w:t>is</w:t>
      </w:r>
      <w:r>
        <w:rPr>
          <w:spacing w:val="-3"/>
        </w:rPr>
        <w:t xml:space="preserve"> </w:t>
      </w:r>
      <w:r>
        <w:rPr>
          <w:spacing w:val="-2"/>
        </w:rPr>
        <w:t>licensed</w:t>
      </w:r>
      <w:r>
        <w:rPr>
          <w:spacing w:val="-4"/>
        </w:rPr>
        <w:t xml:space="preserve"> </w:t>
      </w:r>
      <w:r>
        <w:rPr>
          <w:spacing w:val="-2"/>
        </w:rPr>
        <w:t>under</w:t>
      </w:r>
      <w:r>
        <w:rPr>
          <w:spacing w:val="-3"/>
        </w:rPr>
        <w:t xml:space="preserve"> </w:t>
      </w:r>
      <w:r>
        <w:t>a</w:t>
      </w:r>
      <w:r>
        <w:rPr>
          <w:spacing w:val="-3"/>
        </w:rPr>
        <w:t xml:space="preserve"> Creative </w:t>
      </w:r>
      <w:r>
        <w:rPr>
          <w:spacing w:val="-2"/>
        </w:rPr>
        <w:t>Commons</w:t>
      </w:r>
      <w:r>
        <w:rPr>
          <w:spacing w:val="27"/>
          <w:w w:val="101"/>
        </w:rPr>
        <w:t xml:space="preserve"> </w:t>
      </w:r>
      <w:r>
        <w:rPr>
          <w:spacing w:val="-2"/>
        </w:rPr>
        <w:t>Attribution 4.0</w:t>
      </w:r>
      <w:r>
        <w:rPr>
          <w:spacing w:val="-1"/>
        </w:rPr>
        <w:t xml:space="preserve"> </w:t>
      </w:r>
      <w:r>
        <w:rPr>
          <w:spacing w:val="-2"/>
        </w:rPr>
        <w:t>International Licence</w:t>
      </w:r>
      <w:r>
        <w:rPr>
          <w:spacing w:val="-1"/>
        </w:rPr>
        <w:t xml:space="preserve"> </w:t>
      </w:r>
      <w:r>
        <w:rPr>
          <w:spacing w:val="-3"/>
        </w:rPr>
        <w:t>(CC</w:t>
      </w:r>
      <w:r>
        <w:rPr>
          <w:spacing w:val="-2"/>
        </w:rPr>
        <w:t xml:space="preserve"> </w:t>
      </w:r>
      <w:r>
        <w:rPr>
          <w:spacing w:val="-1"/>
        </w:rPr>
        <w:t xml:space="preserve">BY </w:t>
      </w:r>
      <w:r>
        <w:rPr>
          <w:spacing w:val="-3"/>
        </w:rPr>
        <w:t>4.0).</w:t>
      </w:r>
      <w:r>
        <w:rPr>
          <w:spacing w:val="-1"/>
        </w:rPr>
        <w:t xml:space="preserve"> </w:t>
      </w:r>
      <w:r>
        <w:rPr>
          <w:spacing w:val="-14"/>
        </w:rPr>
        <w:t>T</w:t>
      </w:r>
      <w:r>
        <w:rPr>
          <w:spacing w:val="-13"/>
        </w:rPr>
        <w:t>o</w:t>
      </w:r>
      <w:r>
        <w:rPr>
          <w:spacing w:val="-2"/>
        </w:rPr>
        <w:t xml:space="preserve"> view</w:t>
      </w:r>
      <w:r>
        <w:rPr>
          <w:spacing w:val="-1"/>
        </w:rPr>
        <w:t xml:space="preserve"> </w:t>
      </w:r>
      <w:r>
        <w:t>a</w:t>
      </w:r>
      <w:r>
        <w:rPr>
          <w:spacing w:val="-2"/>
        </w:rPr>
        <w:t xml:space="preserve"> copy</w:t>
      </w:r>
      <w:r>
        <w:rPr>
          <w:spacing w:val="-1"/>
        </w:rPr>
        <w:t xml:space="preserve"> of </w:t>
      </w:r>
      <w:r>
        <w:rPr>
          <w:spacing w:val="-2"/>
        </w:rPr>
        <w:t>this licence,</w:t>
      </w:r>
      <w:r>
        <w:rPr>
          <w:spacing w:val="-1"/>
        </w:rPr>
        <w:t xml:space="preserve"> </w:t>
      </w:r>
      <w:r>
        <w:rPr>
          <w:spacing w:val="-2"/>
        </w:rPr>
        <w:t>visit</w:t>
      </w:r>
      <w:r>
        <w:rPr>
          <w:spacing w:val="-2"/>
          <w:w w:val="102"/>
        </w:rPr>
        <w:t xml:space="preserve"> </w:t>
      </w:r>
      <w:hyperlink r:id="rId18">
        <w:r w:rsidRPr="001A61F8">
          <w:rPr>
            <w:color w:val="002060"/>
            <w:spacing w:val="-2"/>
            <w:w w:val="106"/>
          </w:rPr>
          <w:t xml:space="preserve"> </w:t>
        </w:r>
        <w:r w:rsidRPr="001A61F8">
          <w:rPr>
            <w:color w:val="002060"/>
            <w:spacing w:val="-3"/>
            <w:u w:val="single" w:color="828A29"/>
          </w:rPr>
          <w:t>https://creativecommons.org/licenses/by/4.0/</w:t>
        </w:r>
      </w:hyperlink>
      <w:r w:rsidRPr="001A61F8">
        <w:rPr>
          <w:color w:val="002060"/>
          <w:spacing w:val="-3"/>
        </w:rPr>
        <w:t>.</w:t>
      </w:r>
    </w:p>
    <w:p w14:paraId="506C7F88" w14:textId="77777777" w:rsidR="00881426" w:rsidRDefault="00881426" w:rsidP="00C955D7">
      <w:pPr>
        <w:sectPr w:rsidR="00881426" w:rsidSect="00BB5CF3">
          <w:pgSz w:w="11906" w:h="16838"/>
          <w:pgMar w:top="1418" w:right="851" w:bottom="1134" w:left="851" w:header="851" w:footer="567" w:gutter="0"/>
          <w:pgBorders w:display="firstPage" w:offsetFrom="page">
            <w:top w:val="single" w:sz="12" w:space="24" w:color="FFFFFF" w:themeColor="background1"/>
            <w:left w:val="single" w:sz="12" w:space="24" w:color="FFFFFF" w:themeColor="background1"/>
            <w:bottom w:val="single" w:sz="12" w:space="24" w:color="FFFFFF" w:themeColor="background1"/>
            <w:right w:val="single" w:sz="12" w:space="24" w:color="FFFFFF" w:themeColor="background1"/>
          </w:pgBorders>
          <w:pgNumType w:start="0"/>
          <w:cols w:space="708"/>
          <w:docGrid w:linePitch="360"/>
        </w:sectPr>
      </w:pPr>
    </w:p>
    <w:p w14:paraId="19636A88" w14:textId="17C6CDA8" w:rsidR="00882F3D" w:rsidRPr="00882F3D" w:rsidRDefault="00882F3D" w:rsidP="00882F3D">
      <w:pPr>
        <w:pStyle w:val="Title"/>
        <w:rPr>
          <w:rFonts w:asciiTheme="minorHAnsi" w:hAnsiTheme="minorHAnsi" w:cstheme="minorHAnsi"/>
          <w:color w:val="auto"/>
          <w:sz w:val="32"/>
        </w:rPr>
      </w:pPr>
      <w:r w:rsidRPr="00882F3D">
        <w:rPr>
          <w:rStyle w:val="Heading1Char"/>
          <w:b/>
          <w:color w:val="auto"/>
        </w:rPr>
        <w:lastRenderedPageBreak/>
        <w:t>Performance Bonus Guidance</w:t>
      </w:r>
      <w:r>
        <w:rPr>
          <w:rStyle w:val="Heading1Char"/>
          <w:color w:val="auto"/>
        </w:rPr>
        <w:t xml:space="preserve"> </w:t>
      </w:r>
      <w:r w:rsidRPr="00882F3D">
        <w:rPr>
          <w:rFonts w:asciiTheme="minorHAnsi" w:hAnsiTheme="minorHAnsi" w:cstheme="minorHAnsi"/>
          <w:color w:val="auto"/>
        </w:rPr>
        <w:br/>
      </w:r>
      <w:r w:rsidRPr="00882F3D">
        <w:rPr>
          <w:rFonts w:asciiTheme="minorHAnsi" w:hAnsiTheme="minorHAnsi" w:cstheme="minorHAnsi"/>
          <w:b w:val="0"/>
          <w:color w:val="auto"/>
          <w:sz w:val="40"/>
        </w:rPr>
        <w:t>Principles governing performance bonus use in Commonwealth entities and companies</w:t>
      </w:r>
    </w:p>
    <w:p w14:paraId="5221BF6D" w14:textId="1D888502" w:rsidR="00B7521A" w:rsidRPr="00882F3D" w:rsidRDefault="00882F3D" w:rsidP="008B05B2">
      <w:pPr>
        <w:pStyle w:val="Heading2"/>
      </w:pPr>
      <w:r w:rsidRPr="00882F3D">
        <w:t>Application</w:t>
      </w:r>
    </w:p>
    <w:p w14:paraId="1AC56E5B" w14:textId="77777777" w:rsidR="00882F3D" w:rsidRDefault="00882F3D" w:rsidP="00882F3D">
      <w:pPr>
        <w:pStyle w:val="NoSpacing"/>
        <w:numPr>
          <w:ilvl w:val="0"/>
          <w:numId w:val="25"/>
        </w:numPr>
        <w:spacing w:after="120" w:line="276" w:lineRule="auto"/>
        <w:ind w:left="714" w:hanging="357"/>
      </w:pPr>
      <w:r>
        <w:t>The following principles apply to all Commonwealth entities and companies. This includes:</w:t>
      </w:r>
    </w:p>
    <w:p w14:paraId="23274DA9" w14:textId="77777777" w:rsidR="00882F3D" w:rsidRDefault="00882F3D" w:rsidP="00882F3D">
      <w:pPr>
        <w:pStyle w:val="NoSpacing"/>
        <w:numPr>
          <w:ilvl w:val="1"/>
          <w:numId w:val="25"/>
        </w:numPr>
        <w:spacing w:after="120" w:line="276" w:lineRule="auto"/>
      </w:pPr>
      <w:r>
        <w:t>Non-corporate Commonwealth entities</w:t>
      </w:r>
    </w:p>
    <w:p w14:paraId="35DB1381" w14:textId="77777777" w:rsidR="00882F3D" w:rsidRDefault="00882F3D" w:rsidP="00882F3D">
      <w:pPr>
        <w:pStyle w:val="NoSpacing"/>
        <w:numPr>
          <w:ilvl w:val="1"/>
          <w:numId w:val="25"/>
        </w:numPr>
        <w:spacing w:after="120" w:line="276" w:lineRule="auto"/>
      </w:pPr>
      <w:r>
        <w:t>Corporate Commonwealth entities</w:t>
      </w:r>
    </w:p>
    <w:p w14:paraId="3087FDCD" w14:textId="77777777" w:rsidR="00882F3D" w:rsidRDefault="00882F3D" w:rsidP="00882F3D">
      <w:pPr>
        <w:pStyle w:val="NoSpacing"/>
        <w:numPr>
          <w:ilvl w:val="1"/>
          <w:numId w:val="25"/>
        </w:numPr>
        <w:spacing w:after="120" w:line="276" w:lineRule="auto"/>
      </w:pPr>
      <w:r>
        <w:t>Commonwealth Companies</w:t>
      </w:r>
    </w:p>
    <w:p w14:paraId="6C207551" w14:textId="77777777" w:rsidR="00882F3D" w:rsidRDefault="00882F3D" w:rsidP="00882F3D">
      <w:pPr>
        <w:pStyle w:val="NoSpacing"/>
        <w:numPr>
          <w:ilvl w:val="1"/>
          <w:numId w:val="25"/>
        </w:numPr>
        <w:spacing w:after="120" w:line="276" w:lineRule="auto"/>
      </w:pPr>
      <w:r>
        <w:t>Government Business Enterprises.</w:t>
      </w:r>
    </w:p>
    <w:p w14:paraId="34418815" w14:textId="77777777" w:rsidR="00882F3D" w:rsidRDefault="00882F3D" w:rsidP="00882F3D">
      <w:pPr>
        <w:pStyle w:val="NoSpacing"/>
        <w:numPr>
          <w:ilvl w:val="0"/>
          <w:numId w:val="25"/>
        </w:numPr>
        <w:spacing w:before="100" w:beforeAutospacing="1" w:after="120" w:line="276" w:lineRule="auto"/>
        <w:ind w:left="714" w:hanging="357"/>
      </w:pPr>
      <w:r>
        <w:t>These principles do not apply to the Australian Defence Force or where inconsistent with an entity or company’s legislative and regulatory obligations.</w:t>
      </w:r>
    </w:p>
    <w:p w14:paraId="510E5795" w14:textId="77777777" w:rsidR="00882F3D" w:rsidRDefault="00882F3D" w:rsidP="00882F3D">
      <w:pPr>
        <w:pStyle w:val="NoSpacing"/>
        <w:numPr>
          <w:ilvl w:val="0"/>
          <w:numId w:val="25"/>
        </w:numPr>
        <w:spacing w:before="100" w:beforeAutospacing="1" w:after="120" w:line="276" w:lineRule="auto"/>
        <w:ind w:left="714" w:hanging="357"/>
      </w:pPr>
      <w:r>
        <w:t>These principles apply to senior staff considered Key Management Personnel and Senior Executives</w:t>
      </w:r>
      <w:r>
        <w:rPr>
          <w:rStyle w:val="FootnoteReference"/>
        </w:rPr>
        <w:footnoteReference w:id="2"/>
      </w:r>
      <w:r>
        <w:t>, except staff where remuneration arrangements are set by the Remuneration Tribunal. Commonwealth entities and companies should apply these principles to all staff, particularly Other Highly Paid Staff.</w:t>
      </w:r>
    </w:p>
    <w:p w14:paraId="2E42D3AF" w14:textId="77777777" w:rsidR="00882F3D" w:rsidRDefault="00882F3D" w:rsidP="00882F3D">
      <w:pPr>
        <w:pStyle w:val="NoSpacing"/>
        <w:numPr>
          <w:ilvl w:val="0"/>
          <w:numId w:val="25"/>
        </w:numPr>
        <w:spacing w:before="100" w:beforeAutospacing="1" w:after="120" w:line="276" w:lineRule="auto"/>
        <w:ind w:left="714" w:hanging="357"/>
      </w:pPr>
      <w:r>
        <w:t>These principles apply to performance bonuses related to activities in 2021-22 onwards. Commonwealth entities and companies are expected to implement these principles as soon as practicable.</w:t>
      </w:r>
    </w:p>
    <w:p w14:paraId="54BFB145" w14:textId="77777777" w:rsidR="00882F3D" w:rsidRDefault="00882F3D" w:rsidP="00882F3D">
      <w:pPr>
        <w:pStyle w:val="NoSpacing"/>
        <w:numPr>
          <w:ilvl w:val="0"/>
          <w:numId w:val="25"/>
        </w:numPr>
        <w:spacing w:before="100" w:beforeAutospacing="1" w:after="120" w:line="276" w:lineRule="auto"/>
      </w:pPr>
      <w:r>
        <w:t>When determining the policies and practices relating to performance bonuses,</w:t>
      </w:r>
      <w:r w:rsidDel="005334F0">
        <w:t xml:space="preserve"> </w:t>
      </w:r>
      <w:r>
        <w:t xml:space="preserve">Accountable Authorities need to take account of their duty to govern the entity or company in a way that promotes the proper use and management of public resources. </w:t>
      </w:r>
    </w:p>
    <w:p w14:paraId="590095F5" w14:textId="77777777" w:rsidR="00882F3D" w:rsidRDefault="00882F3D" w:rsidP="00882F3D">
      <w:pPr>
        <w:pStyle w:val="NoSpacing"/>
        <w:numPr>
          <w:ilvl w:val="0"/>
          <w:numId w:val="25"/>
        </w:numPr>
        <w:spacing w:before="100" w:beforeAutospacing="1" w:after="120" w:line="276" w:lineRule="auto"/>
        <w:ind w:left="714" w:hanging="357"/>
      </w:pPr>
      <w:r>
        <w:t>These principles recognise that a limited number of Commonwealth entities and companies operate primarily in commercial markets where it may be more appropriate to use performance bonuses.  However, these principles apply in establishing and operating any such performance bonus arrangements.</w:t>
      </w:r>
    </w:p>
    <w:p w14:paraId="0685B571" w14:textId="77777777" w:rsidR="00882F3D" w:rsidRDefault="00882F3D" w:rsidP="00882F3D">
      <w:pPr>
        <w:pStyle w:val="NoSpacing"/>
        <w:numPr>
          <w:ilvl w:val="0"/>
          <w:numId w:val="25"/>
        </w:numPr>
        <w:spacing w:before="100" w:beforeAutospacing="1" w:after="120" w:line="276" w:lineRule="auto"/>
        <w:ind w:left="714" w:hanging="357"/>
      </w:pPr>
      <w:r>
        <w:t>Commonwealth entities and companies that remove or reduce bonuses might consider buy-outs, partial rolling into salary, allowing existing arrangements to expire or a combination of transitional strategies. It is expected that where transition arrangements involve roll-ins, that only a portion of the available bonus is incorporated into salary. Clause 24 of this guidance also applies to transition arrangements.</w:t>
      </w:r>
    </w:p>
    <w:p w14:paraId="36C5F3A9" w14:textId="77777777" w:rsidR="00F75285" w:rsidRDefault="00F75285">
      <w:pPr>
        <w:spacing w:after="200" w:line="276" w:lineRule="auto"/>
        <w:rPr>
          <w:rFonts w:cs="Arial"/>
          <w:b/>
          <w:bCs/>
          <w:iCs/>
          <w:sz w:val="36"/>
          <w:szCs w:val="28"/>
        </w:rPr>
      </w:pPr>
      <w:r>
        <w:br w:type="page"/>
      </w:r>
    </w:p>
    <w:p w14:paraId="528E76EF" w14:textId="4539001B" w:rsidR="00882F3D" w:rsidRPr="00CF6D72" w:rsidRDefault="00882F3D" w:rsidP="00882F3D">
      <w:pPr>
        <w:pStyle w:val="Heading2"/>
      </w:pPr>
      <w:r w:rsidRPr="00CF6D72">
        <w:lastRenderedPageBreak/>
        <w:t>P</w:t>
      </w:r>
      <w:r>
        <w:t>rinciples</w:t>
      </w:r>
      <w:r w:rsidRPr="00CF6D72">
        <w:t xml:space="preserve"> and Government expectations</w:t>
      </w:r>
    </w:p>
    <w:p w14:paraId="3E758238" w14:textId="77777777" w:rsidR="00882F3D" w:rsidRDefault="00882F3D" w:rsidP="00882F3D">
      <w:pPr>
        <w:pStyle w:val="NormalWeb"/>
        <w:numPr>
          <w:ilvl w:val="0"/>
          <w:numId w:val="25"/>
        </w:numPr>
        <w:spacing w:after="120" w:afterAutospacing="0" w:line="276" w:lineRule="auto"/>
        <w:ind w:left="714" w:hanging="357"/>
        <w:rPr>
          <w:rFonts w:asciiTheme="minorHAnsi" w:hAnsiTheme="minorHAnsi" w:cstheme="minorHAnsi"/>
          <w:color w:val="000000"/>
          <w:sz w:val="22"/>
          <w:szCs w:val="22"/>
        </w:rPr>
      </w:pPr>
      <w:r>
        <w:rPr>
          <w:rFonts w:asciiTheme="minorHAnsi" w:hAnsiTheme="minorHAnsi" w:cstheme="minorHAnsi"/>
          <w:color w:val="000000"/>
          <w:sz w:val="22"/>
          <w:szCs w:val="22"/>
        </w:rPr>
        <w:t>Commonwealth entities and companies exist to deliver outcomes for the public. Any performance bonuses</w:t>
      </w:r>
      <w:r>
        <w:rPr>
          <w:rStyle w:val="FootnoteReference"/>
          <w:rFonts w:asciiTheme="minorHAnsi" w:eastAsiaTheme="majorEastAsia" w:hAnsiTheme="minorHAnsi" w:cstheme="minorHAnsi"/>
          <w:color w:val="000000"/>
          <w:sz w:val="22"/>
          <w:szCs w:val="22"/>
        </w:rPr>
        <w:footnoteReference w:id="3"/>
      </w:r>
      <w:r>
        <w:rPr>
          <w:rFonts w:asciiTheme="minorHAnsi" w:hAnsiTheme="minorHAnsi" w:cstheme="minorHAnsi"/>
          <w:color w:val="000000"/>
          <w:sz w:val="22"/>
          <w:szCs w:val="22"/>
        </w:rPr>
        <w:t xml:space="preserve"> must be carefully designed to clearly align with delivering a public benefit over and above expected outcomes.</w:t>
      </w:r>
    </w:p>
    <w:p w14:paraId="3D117E8D" w14:textId="77777777" w:rsidR="00882F3D" w:rsidRPr="00FE1357"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sidRPr="00FE1357">
        <w:rPr>
          <w:rFonts w:asciiTheme="minorHAnsi" w:hAnsiTheme="minorHAnsi" w:cstheme="minorHAnsi"/>
          <w:sz w:val="22"/>
          <w:szCs w:val="22"/>
        </w:rPr>
        <w:t xml:space="preserve">All Commonwealth </w:t>
      </w:r>
      <w:r>
        <w:rPr>
          <w:rFonts w:asciiTheme="minorHAnsi" w:hAnsiTheme="minorHAnsi" w:cstheme="minorHAnsi"/>
          <w:sz w:val="22"/>
          <w:szCs w:val="22"/>
        </w:rPr>
        <w:t>entities and companies</w:t>
      </w:r>
      <w:r w:rsidRPr="00FE1357">
        <w:rPr>
          <w:rFonts w:asciiTheme="minorHAnsi" w:hAnsiTheme="minorHAnsi" w:cstheme="minorHAnsi"/>
          <w:sz w:val="22"/>
          <w:szCs w:val="22"/>
        </w:rPr>
        <w:t xml:space="preserve"> have a responsibility to the Australian public and therefore should act in line </w:t>
      </w:r>
      <w:r>
        <w:rPr>
          <w:rFonts w:asciiTheme="minorHAnsi" w:hAnsiTheme="minorHAnsi" w:cstheme="minorHAnsi"/>
          <w:sz w:val="22"/>
          <w:szCs w:val="22"/>
        </w:rPr>
        <w:t>w</w:t>
      </w:r>
      <w:r w:rsidRPr="00FE1357">
        <w:rPr>
          <w:rFonts w:asciiTheme="minorHAnsi" w:hAnsiTheme="minorHAnsi" w:cstheme="minorHAnsi"/>
          <w:sz w:val="22"/>
          <w:szCs w:val="22"/>
        </w:rPr>
        <w:t>ith community expectations</w:t>
      </w:r>
      <w:r>
        <w:rPr>
          <w:rFonts w:asciiTheme="minorHAnsi" w:hAnsiTheme="minorHAnsi" w:cstheme="minorHAnsi"/>
          <w:sz w:val="22"/>
          <w:szCs w:val="22"/>
        </w:rPr>
        <w:t xml:space="preserve"> regarding remuneration</w:t>
      </w:r>
      <w:r w:rsidRPr="00FE1357">
        <w:rPr>
          <w:rFonts w:asciiTheme="minorHAnsi" w:hAnsiTheme="minorHAnsi" w:cstheme="minorHAnsi"/>
          <w:sz w:val="22"/>
          <w:szCs w:val="22"/>
        </w:rPr>
        <w:t>, regardless of their level of independence from the Government.</w:t>
      </w:r>
    </w:p>
    <w:p w14:paraId="6330C9C0" w14:textId="77777777" w:rsidR="00882F3D" w:rsidRPr="00FE1357"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sidRPr="00FE1357">
        <w:rPr>
          <w:rFonts w:asciiTheme="minorHAnsi" w:hAnsiTheme="minorHAnsi" w:cstheme="minorHAnsi"/>
          <w:color w:val="000000"/>
          <w:sz w:val="22"/>
          <w:szCs w:val="22"/>
        </w:rPr>
        <w:t>Commonwealth</w:t>
      </w:r>
      <w:r>
        <w:rPr>
          <w:rFonts w:asciiTheme="minorHAnsi" w:hAnsiTheme="minorHAnsi" w:cstheme="minorHAnsi"/>
          <w:color w:val="000000"/>
          <w:sz w:val="22"/>
          <w:szCs w:val="22"/>
        </w:rPr>
        <w:t xml:space="preserve"> entities and companies</w:t>
      </w:r>
      <w:r w:rsidRPr="00FE1357">
        <w:rPr>
          <w:rFonts w:asciiTheme="minorHAnsi" w:hAnsiTheme="minorHAnsi" w:cstheme="minorHAnsi"/>
          <w:color w:val="000000"/>
          <w:sz w:val="22"/>
          <w:szCs w:val="22"/>
        </w:rPr>
        <w:t xml:space="preserve"> should exercise rigour and restraint in the use of </w:t>
      </w:r>
      <w:r>
        <w:rPr>
          <w:rFonts w:asciiTheme="minorHAnsi" w:hAnsiTheme="minorHAnsi" w:cstheme="minorHAnsi"/>
          <w:color w:val="000000"/>
          <w:sz w:val="22"/>
          <w:szCs w:val="22"/>
        </w:rPr>
        <w:t xml:space="preserve">performance </w:t>
      </w:r>
      <w:r w:rsidRPr="00FE1357">
        <w:rPr>
          <w:rFonts w:asciiTheme="minorHAnsi" w:hAnsiTheme="minorHAnsi" w:cstheme="minorHAnsi"/>
          <w:color w:val="000000"/>
          <w:sz w:val="22"/>
          <w:szCs w:val="22"/>
        </w:rPr>
        <w:t>bonus payments.</w:t>
      </w:r>
    </w:p>
    <w:p w14:paraId="61B8C57B" w14:textId="77777777" w:rsidR="00882F3D"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Performance bonuses may only be used in limited circumstances, justifiable to the Parliament and the public.</w:t>
      </w:r>
    </w:p>
    <w:p w14:paraId="087CEDC2" w14:textId="77777777" w:rsidR="00882F3D" w:rsidRDefault="00882F3D" w:rsidP="00882F3D">
      <w:pPr>
        <w:pStyle w:val="Heading2"/>
      </w:pPr>
      <w:r>
        <w:t>Eligibility for bonuses</w:t>
      </w:r>
    </w:p>
    <w:p w14:paraId="3BB9D86F" w14:textId="77777777" w:rsidR="00882F3D"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sidRPr="00872F90">
        <w:rPr>
          <w:rFonts w:asciiTheme="minorHAnsi" w:hAnsiTheme="minorHAnsi" w:cstheme="minorHAnsi"/>
          <w:color w:val="000000"/>
          <w:sz w:val="22"/>
          <w:szCs w:val="22"/>
        </w:rPr>
        <w:t xml:space="preserve">Commonwealth </w:t>
      </w:r>
      <w:r>
        <w:rPr>
          <w:rFonts w:asciiTheme="minorHAnsi" w:hAnsiTheme="minorHAnsi" w:cstheme="minorHAnsi"/>
          <w:color w:val="000000"/>
          <w:sz w:val="22"/>
          <w:szCs w:val="22"/>
        </w:rPr>
        <w:t>entities and companies</w:t>
      </w:r>
      <w:r w:rsidRPr="00872F90">
        <w:rPr>
          <w:rFonts w:asciiTheme="minorHAnsi" w:hAnsiTheme="minorHAnsi" w:cstheme="minorHAnsi"/>
          <w:color w:val="000000"/>
          <w:sz w:val="22"/>
          <w:szCs w:val="22"/>
        </w:rPr>
        <w:t xml:space="preserve"> </w:t>
      </w:r>
      <w:r>
        <w:rPr>
          <w:rFonts w:asciiTheme="minorHAnsi" w:hAnsiTheme="minorHAnsi" w:cstheme="minorHAnsi"/>
          <w:color w:val="000000"/>
          <w:sz w:val="22"/>
          <w:szCs w:val="22"/>
        </w:rPr>
        <w:t>must</w:t>
      </w:r>
      <w:r w:rsidRPr="00872F90">
        <w:rPr>
          <w:rFonts w:asciiTheme="minorHAnsi" w:hAnsiTheme="minorHAnsi" w:cstheme="minorHAnsi"/>
          <w:color w:val="000000"/>
          <w:sz w:val="22"/>
          <w:szCs w:val="22"/>
        </w:rPr>
        <w:t xml:space="preserve"> carefully target who is provided </w:t>
      </w:r>
      <w:r>
        <w:rPr>
          <w:rFonts w:asciiTheme="minorHAnsi" w:hAnsiTheme="minorHAnsi" w:cstheme="minorHAnsi"/>
          <w:color w:val="000000"/>
          <w:sz w:val="22"/>
          <w:szCs w:val="22"/>
        </w:rPr>
        <w:t xml:space="preserve">with the opportunity to earn a performance </w:t>
      </w:r>
      <w:r w:rsidRPr="00872F90">
        <w:rPr>
          <w:rFonts w:asciiTheme="minorHAnsi" w:hAnsiTheme="minorHAnsi" w:cstheme="minorHAnsi"/>
          <w:color w:val="000000"/>
          <w:sz w:val="22"/>
          <w:szCs w:val="22"/>
        </w:rPr>
        <w:t xml:space="preserve">bonus as part of their remuneration package. </w:t>
      </w:r>
      <w:r>
        <w:rPr>
          <w:rFonts w:asciiTheme="minorHAnsi" w:hAnsiTheme="minorHAnsi" w:cstheme="minorHAnsi"/>
          <w:color w:val="000000"/>
          <w:sz w:val="22"/>
          <w:szCs w:val="22"/>
        </w:rPr>
        <w:t>Performance bonuses must not be used to top-up remuneration packages and should be genuinely at risk.</w:t>
      </w:r>
    </w:p>
    <w:p w14:paraId="63B0F390" w14:textId="77777777" w:rsidR="00882F3D"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As a general principle, most positions should not be eligible to earn a performance bonus. For instance, performance bonuses would not be appropriate in most policy, service delivery, regulatory, or corporate roles. </w:t>
      </w:r>
    </w:p>
    <w:p w14:paraId="167CC1F8" w14:textId="77777777" w:rsidR="00882F3D" w:rsidRPr="00B612EF"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sidRPr="00B612EF">
        <w:rPr>
          <w:rFonts w:asciiTheme="minorHAnsi" w:hAnsiTheme="minorHAnsi" w:cstheme="minorHAnsi"/>
          <w:color w:val="000000"/>
          <w:sz w:val="22"/>
          <w:szCs w:val="22"/>
        </w:rPr>
        <w:t>Examples of positions which may be appropriate for performance bonus eligibility include:</w:t>
      </w:r>
    </w:p>
    <w:p w14:paraId="4B29F4BA" w14:textId="77777777" w:rsidR="00882F3D" w:rsidRDefault="00882F3D" w:rsidP="00882F3D">
      <w:pPr>
        <w:pStyle w:val="NormalWeb"/>
        <w:numPr>
          <w:ilvl w:val="1"/>
          <w:numId w:val="25"/>
        </w:numPr>
        <w:spacing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a position that involves significant, at-risk investment outcomes;</w:t>
      </w:r>
      <w:r w:rsidRPr="001853C3">
        <w:rPr>
          <w:rFonts w:asciiTheme="minorHAnsi" w:hAnsiTheme="minorHAnsi" w:cstheme="minorHAnsi"/>
          <w:color w:val="000000"/>
          <w:sz w:val="22"/>
          <w:szCs w:val="22"/>
        </w:rPr>
        <w:t xml:space="preserve"> </w:t>
      </w:r>
      <w:r>
        <w:rPr>
          <w:rFonts w:asciiTheme="minorHAnsi" w:hAnsiTheme="minorHAnsi" w:cstheme="minorHAnsi"/>
          <w:color w:val="000000"/>
          <w:sz w:val="22"/>
          <w:szCs w:val="22"/>
        </w:rPr>
        <w:t>or</w:t>
      </w:r>
    </w:p>
    <w:p w14:paraId="239E4ECD" w14:textId="77777777" w:rsidR="00882F3D" w:rsidRDefault="00882F3D" w:rsidP="00882F3D">
      <w:pPr>
        <w:pStyle w:val="NormalWeb"/>
        <w:numPr>
          <w:ilvl w:val="1"/>
          <w:numId w:val="25"/>
        </w:numPr>
        <w:spacing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a position which is required to meet significant, public milestones; or</w:t>
      </w:r>
    </w:p>
    <w:p w14:paraId="0B41D00A" w14:textId="77777777" w:rsidR="00882F3D" w:rsidRDefault="00882F3D" w:rsidP="00882F3D">
      <w:pPr>
        <w:pStyle w:val="NormalWeb"/>
        <w:numPr>
          <w:ilvl w:val="1"/>
          <w:numId w:val="25"/>
        </w:numPr>
        <w:spacing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a position that involves non-tax revenue raising.</w:t>
      </w:r>
    </w:p>
    <w:p w14:paraId="76D6C0A2" w14:textId="77777777" w:rsidR="00882F3D"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Examples of position</w:t>
      </w:r>
      <w:r w:rsidDel="00177019">
        <w:rPr>
          <w:rFonts w:asciiTheme="minorHAnsi" w:hAnsiTheme="minorHAnsi" w:cstheme="minorHAnsi"/>
          <w:color w:val="000000"/>
          <w:sz w:val="22"/>
          <w:szCs w:val="22"/>
        </w:rPr>
        <w:t>s</w:t>
      </w:r>
      <w:r>
        <w:rPr>
          <w:rFonts w:asciiTheme="minorHAnsi" w:hAnsiTheme="minorHAnsi" w:cstheme="minorHAnsi"/>
          <w:color w:val="000000"/>
          <w:sz w:val="22"/>
          <w:szCs w:val="22"/>
        </w:rPr>
        <w:t xml:space="preserve"> which are inappropriate for performance bonus eligibility </w:t>
      </w:r>
      <w:r w:rsidDel="00177019">
        <w:rPr>
          <w:rFonts w:asciiTheme="minorHAnsi" w:hAnsiTheme="minorHAnsi" w:cstheme="minorHAnsi"/>
          <w:color w:val="000000"/>
          <w:sz w:val="22"/>
          <w:szCs w:val="22"/>
        </w:rPr>
        <w:t>include</w:t>
      </w:r>
      <w:r>
        <w:rPr>
          <w:rFonts w:asciiTheme="minorHAnsi" w:hAnsiTheme="minorHAnsi" w:cstheme="minorHAnsi"/>
          <w:color w:val="000000"/>
          <w:sz w:val="22"/>
          <w:szCs w:val="22"/>
        </w:rPr>
        <w:t>:</w:t>
      </w:r>
    </w:p>
    <w:p w14:paraId="27A8FF1D" w14:textId="77777777" w:rsidR="00882F3D" w:rsidRDefault="00882F3D" w:rsidP="00882F3D">
      <w:pPr>
        <w:pStyle w:val="NormalWeb"/>
        <w:numPr>
          <w:ilvl w:val="1"/>
          <w:numId w:val="25"/>
        </w:numPr>
        <w:spacing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a position that involves tax revenue raising and those related to cost neutral programs, cost recovery programs or regulatory activities.</w:t>
      </w:r>
    </w:p>
    <w:p w14:paraId="194FC38B" w14:textId="77777777" w:rsidR="00882F3D"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Commonwealth entities and companies should avoid the broad use of performance bonuses. When bonuses are used, all Commonwealth entities and companies must be able to transparently justify the decision.</w:t>
      </w:r>
    </w:p>
    <w:p w14:paraId="240D7454" w14:textId="77777777" w:rsidR="00882F3D"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There may be a greater justification for Commonwealth entities and companies whose primary purpose is to operate in commercial markets</w:t>
      </w:r>
      <w:r w:rsidRPr="009A3F4A">
        <w:rPr>
          <w:rFonts w:asciiTheme="minorHAnsi" w:hAnsiTheme="minorHAnsi" w:cstheme="minorHAnsi"/>
          <w:color w:val="000000"/>
          <w:sz w:val="22"/>
          <w:szCs w:val="22"/>
        </w:rPr>
        <w:t xml:space="preserve">, to use </w:t>
      </w:r>
      <w:r w:rsidRPr="00F70495">
        <w:rPr>
          <w:rFonts w:asciiTheme="minorHAnsi" w:hAnsiTheme="minorHAnsi"/>
          <w:color w:val="000000"/>
          <w:sz w:val="22"/>
        </w:rPr>
        <w:t>at risk remuneration</w:t>
      </w:r>
      <w:r w:rsidRPr="009A3F4A">
        <w:rPr>
          <w:rFonts w:asciiTheme="minorHAnsi" w:hAnsiTheme="minorHAnsi" w:cstheme="minorHAnsi"/>
          <w:color w:val="000000"/>
          <w:sz w:val="22"/>
          <w:szCs w:val="22"/>
        </w:rPr>
        <w:t xml:space="preserve"> arrangements including performance bonuses.</w:t>
      </w:r>
      <w:r>
        <w:rPr>
          <w:rFonts w:asciiTheme="minorHAnsi" w:hAnsiTheme="minorHAnsi" w:cstheme="minorHAnsi"/>
          <w:color w:val="000000"/>
          <w:sz w:val="22"/>
          <w:szCs w:val="22"/>
        </w:rPr>
        <w:t xml:space="preserve"> The appropriateness of these arrangements in those entities and companies should be carefully considered and regularly reviewed. The Accountable Authorities of these entities and companies should be mindful of their use of public monies in determining if performance bonuses may be suitable.</w:t>
      </w:r>
    </w:p>
    <w:p w14:paraId="33348346" w14:textId="77777777" w:rsidR="00882F3D"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Performance bonuses should be awarded based on measurable outcomes tailored to the individual. Performance bonuses should only be provided when the performance is directly attributable to an individual.  Team, workgroup, entity or company performance (including performance measures identified in a corporate plan) may also be contributing factors.</w:t>
      </w:r>
    </w:p>
    <w:p w14:paraId="009CD639" w14:textId="77777777" w:rsidR="00882F3D"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Individuals should be ineligible for performance bonuses for adequate or satisfactory performance. Performance bonuses should normally only be used in cases of high levels of performance and achievements greater than the inherent expectations of the position and within agreed risk parameters. </w:t>
      </w:r>
    </w:p>
    <w:p w14:paraId="1BD2E841" w14:textId="77777777" w:rsidR="00882F3D"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Performance bonus outcomes must be dependent on required employee behaviours. Individuals should not receive performance bonuses if they are subject to code of conduct or integrity investigations. </w:t>
      </w:r>
    </w:p>
    <w:p w14:paraId="0524CB27" w14:textId="77777777" w:rsidR="00882F3D"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If performance bonuses relate to multi-year projects, where practicable, bonuses should be subject to part deferral (for example, 50% of the bonus) and meeting longer term deliverables and the success of project milestones</w:t>
      </w:r>
      <w:bookmarkStart w:id="2" w:name="_GoBack"/>
      <w:bookmarkEnd w:id="2"/>
      <w:r>
        <w:rPr>
          <w:rFonts w:asciiTheme="minorHAnsi" w:hAnsiTheme="minorHAnsi" w:cstheme="minorHAnsi"/>
          <w:color w:val="000000"/>
          <w:sz w:val="22"/>
          <w:szCs w:val="22"/>
        </w:rPr>
        <w:t>.</w:t>
      </w:r>
    </w:p>
    <w:p w14:paraId="6F92455C" w14:textId="77777777" w:rsidR="00882F3D" w:rsidRPr="00000D46"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Performance bonuses should only be paid to </w:t>
      </w:r>
      <w:r w:rsidRPr="00D909B5">
        <w:rPr>
          <w:rFonts w:asciiTheme="minorHAnsi" w:hAnsiTheme="minorHAnsi" w:cstheme="minorHAnsi"/>
          <w:sz w:val="22"/>
          <w:szCs w:val="22"/>
        </w:rPr>
        <w:t xml:space="preserve">staff employed by the Commonwealth entity or company at the time the bonus is </w:t>
      </w:r>
      <w:r>
        <w:rPr>
          <w:rFonts w:asciiTheme="minorHAnsi" w:hAnsiTheme="minorHAnsi" w:cstheme="minorHAnsi"/>
          <w:sz w:val="22"/>
          <w:szCs w:val="22"/>
        </w:rPr>
        <w:t>awarded</w:t>
      </w:r>
      <w:r w:rsidRPr="00D909B5">
        <w:rPr>
          <w:rFonts w:asciiTheme="minorHAnsi" w:hAnsiTheme="minorHAnsi" w:cstheme="minorHAnsi"/>
          <w:sz w:val="22"/>
          <w:szCs w:val="22"/>
        </w:rPr>
        <w:t>.</w:t>
      </w:r>
    </w:p>
    <w:p w14:paraId="597BC6BB" w14:textId="77777777" w:rsidR="00882F3D" w:rsidRDefault="00882F3D" w:rsidP="00882F3D">
      <w:pPr>
        <w:pStyle w:val="Heading2"/>
      </w:pPr>
      <w:r>
        <w:t>Performance bonus governance and transparency</w:t>
      </w:r>
    </w:p>
    <w:p w14:paraId="7C83D02B" w14:textId="77777777" w:rsidR="00882F3D" w:rsidRPr="00C47ABA"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bookmarkStart w:id="3" w:name="_Ref74747502"/>
      <w:r w:rsidRPr="00C47ABA">
        <w:rPr>
          <w:rFonts w:asciiTheme="minorHAnsi" w:hAnsiTheme="minorHAnsi" w:cstheme="minorHAnsi"/>
          <w:sz w:val="22"/>
          <w:szCs w:val="22"/>
        </w:rPr>
        <w:t xml:space="preserve">The </w:t>
      </w:r>
      <w:r w:rsidRPr="00C47ABA">
        <w:rPr>
          <w:rFonts w:asciiTheme="minorHAnsi" w:hAnsiTheme="minorHAnsi" w:cstheme="minorHAnsi"/>
          <w:i/>
          <w:sz w:val="22"/>
          <w:szCs w:val="22"/>
        </w:rPr>
        <w:t>Public Governance, Performance and Accountability Rule 2014</w:t>
      </w:r>
      <w:r w:rsidRPr="00C47ABA">
        <w:rPr>
          <w:rFonts w:asciiTheme="minorHAnsi" w:hAnsiTheme="minorHAnsi" w:cstheme="minorHAnsi"/>
          <w:sz w:val="22"/>
          <w:szCs w:val="22"/>
        </w:rPr>
        <w:t xml:space="preserve"> requires Commonwealth </w:t>
      </w:r>
      <w:r>
        <w:rPr>
          <w:rFonts w:asciiTheme="minorHAnsi" w:hAnsiTheme="minorHAnsi" w:cstheme="minorHAnsi"/>
          <w:sz w:val="22"/>
          <w:szCs w:val="22"/>
        </w:rPr>
        <w:t xml:space="preserve">entities and companies </w:t>
      </w:r>
      <w:r w:rsidRPr="00C47ABA">
        <w:rPr>
          <w:rFonts w:asciiTheme="minorHAnsi" w:hAnsiTheme="minorHAnsi" w:cstheme="minorHAnsi"/>
          <w:sz w:val="22"/>
          <w:szCs w:val="22"/>
        </w:rPr>
        <w:t xml:space="preserve">to report </w:t>
      </w:r>
      <w:r>
        <w:rPr>
          <w:rFonts w:asciiTheme="minorHAnsi" w:hAnsiTheme="minorHAnsi" w:cstheme="minorHAnsi"/>
          <w:sz w:val="22"/>
          <w:szCs w:val="22"/>
        </w:rPr>
        <w:t>their e</w:t>
      </w:r>
      <w:r w:rsidRPr="00C47ABA">
        <w:rPr>
          <w:rFonts w:asciiTheme="minorHAnsi" w:hAnsiTheme="minorHAnsi" w:cstheme="minorHAnsi"/>
          <w:sz w:val="22"/>
          <w:szCs w:val="22"/>
        </w:rPr>
        <w:t>xecutive remuneration pol</w:t>
      </w:r>
      <w:r>
        <w:rPr>
          <w:rFonts w:asciiTheme="minorHAnsi" w:hAnsiTheme="minorHAnsi" w:cstheme="minorHAnsi"/>
          <w:sz w:val="22"/>
          <w:szCs w:val="22"/>
        </w:rPr>
        <w:t>icy and practices, including the:</w:t>
      </w:r>
      <w:bookmarkEnd w:id="3"/>
      <w:r>
        <w:rPr>
          <w:rFonts w:asciiTheme="minorHAnsi" w:hAnsiTheme="minorHAnsi" w:cstheme="minorHAnsi"/>
          <w:sz w:val="22"/>
          <w:szCs w:val="22"/>
        </w:rPr>
        <w:t xml:space="preserve"> </w:t>
      </w:r>
    </w:p>
    <w:p w14:paraId="67D5F276" w14:textId="77777777" w:rsidR="00882F3D" w:rsidRPr="00C47ABA" w:rsidRDefault="00882F3D" w:rsidP="00882F3D">
      <w:pPr>
        <w:pStyle w:val="NormalWeb"/>
        <w:numPr>
          <w:ilvl w:val="0"/>
          <w:numId w:val="24"/>
        </w:numPr>
        <w:spacing w:after="120" w:afterAutospacing="0" w:line="276" w:lineRule="auto"/>
        <w:rPr>
          <w:rFonts w:asciiTheme="minorHAnsi" w:hAnsiTheme="minorHAnsi" w:cstheme="minorHAnsi"/>
          <w:color w:val="000000"/>
          <w:sz w:val="22"/>
          <w:szCs w:val="22"/>
        </w:rPr>
      </w:pPr>
      <w:r w:rsidRPr="00C47ABA">
        <w:rPr>
          <w:rFonts w:asciiTheme="minorHAnsi" w:hAnsiTheme="minorHAnsi" w:cstheme="minorHAnsi"/>
          <w:sz w:val="22"/>
          <w:szCs w:val="22"/>
        </w:rPr>
        <w:t xml:space="preserve">governance arrangements under which those policies and practices operate; and </w:t>
      </w:r>
    </w:p>
    <w:p w14:paraId="15C387FD" w14:textId="77777777" w:rsidR="00882F3D" w:rsidRPr="00C47ABA" w:rsidRDefault="00882F3D" w:rsidP="00882F3D">
      <w:pPr>
        <w:pStyle w:val="NormalWeb"/>
        <w:numPr>
          <w:ilvl w:val="0"/>
          <w:numId w:val="24"/>
        </w:numPr>
        <w:spacing w:after="120" w:afterAutospacing="0" w:line="276" w:lineRule="auto"/>
        <w:rPr>
          <w:rFonts w:asciiTheme="minorHAnsi" w:hAnsiTheme="minorHAnsi" w:cstheme="minorHAnsi"/>
          <w:color w:val="000000"/>
          <w:sz w:val="22"/>
          <w:szCs w:val="22"/>
        </w:rPr>
      </w:pPr>
      <w:r w:rsidRPr="00C47ABA">
        <w:rPr>
          <w:rFonts w:asciiTheme="minorHAnsi" w:hAnsiTheme="minorHAnsi" w:cstheme="minorHAnsi"/>
          <w:sz w:val="22"/>
          <w:szCs w:val="22"/>
        </w:rPr>
        <w:t>basis on which their remuneration has been determined.</w:t>
      </w:r>
    </w:p>
    <w:p w14:paraId="2C21B6F0" w14:textId="651B525B" w:rsidR="00882F3D" w:rsidRDefault="00882F3D" w:rsidP="00882F3D">
      <w:pPr>
        <w:pStyle w:val="NormalWeb"/>
        <w:spacing w:after="120" w:afterAutospacing="0" w:line="276" w:lineRule="auto"/>
        <w:ind w:left="720"/>
        <w:rPr>
          <w:rFonts w:asciiTheme="minorHAnsi" w:hAnsiTheme="minorHAnsi" w:cstheme="minorHAnsi"/>
          <w:color w:val="000000"/>
          <w:sz w:val="22"/>
          <w:szCs w:val="22"/>
        </w:rPr>
      </w:pPr>
      <w:r>
        <w:rPr>
          <w:rFonts w:asciiTheme="minorHAnsi" w:hAnsiTheme="minorHAnsi" w:cstheme="minorHAnsi"/>
          <w:color w:val="000000"/>
          <w:sz w:val="22"/>
          <w:szCs w:val="22"/>
        </w:rPr>
        <w:t>This Rule requires that Commonwealth entities and companies include information about their decision-making around awarding bonuses in their annual reports, which must be published on the Transparency Portal.</w:t>
      </w:r>
    </w:p>
    <w:p w14:paraId="2473DAB9" w14:textId="77777777" w:rsidR="00882F3D" w:rsidRPr="00A030EC"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sidRPr="00A030EC">
        <w:rPr>
          <w:rFonts w:asciiTheme="minorHAnsi" w:hAnsiTheme="minorHAnsi" w:cstheme="minorHAnsi"/>
          <w:color w:val="000000"/>
          <w:sz w:val="22"/>
          <w:szCs w:val="22"/>
        </w:rPr>
        <w:t xml:space="preserve">All Commonwealth entities and companies </w:t>
      </w:r>
      <w:r>
        <w:rPr>
          <w:rFonts w:asciiTheme="minorHAnsi" w:hAnsiTheme="minorHAnsi" w:cstheme="minorHAnsi"/>
          <w:color w:val="000000"/>
          <w:sz w:val="22"/>
          <w:szCs w:val="22"/>
        </w:rPr>
        <w:t>must</w:t>
      </w:r>
      <w:r w:rsidRPr="00A030EC">
        <w:rPr>
          <w:rFonts w:asciiTheme="minorHAnsi" w:hAnsiTheme="minorHAnsi" w:cstheme="minorHAnsi"/>
          <w:color w:val="000000"/>
          <w:sz w:val="22"/>
          <w:szCs w:val="22"/>
        </w:rPr>
        <w:t xml:space="preserve"> have appropriate governance arrangements for awarding bonuses. </w:t>
      </w:r>
      <w:r w:rsidRPr="00A030EC">
        <w:rPr>
          <w:rFonts w:ascii="Calibri" w:hAnsi="Calibri" w:cs="Calibri"/>
          <w:sz w:val="22"/>
          <w:szCs w:val="22"/>
        </w:rPr>
        <w:t>Arrangements should include the Accountable Authority, as well as a combination of executive managers, remuneration committees or similar</w:t>
      </w:r>
      <w:r w:rsidRPr="00A030EC">
        <w:rPr>
          <w:rFonts w:ascii="Calibri" w:hAnsi="Calibri" w:cs="Calibri"/>
          <w:color w:val="000000"/>
          <w:sz w:val="22"/>
          <w:szCs w:val="22"/>
        </w:rPr>
        <w:t>.</w:t>
      </w:r>
      <w:r>
        <w:rPr>
          <w:rFonts w:ascii="Calibri" w:hAnsi="Calibri" w:cs="Calibri"/>
          <w:color w:val="000000"/>
          <w:sz w:val="22"/>
          <w:szCs w:val="22"/>
        </w:rPr>
        <w:t xml:space="preserve"> Where practicable, there should be more than one level of decision-making.</w:t>
      </w:r>
    </w:p>
    <w:p w14:paraId="0B9AB444" w14:textId="6EEAAF89" w:rsidR="00882F3D" w:rsidRPr="00EB38FA"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sidRPr="00EB38FA">
        <w:rPr>
          <w:rFonts w:asciiTheme="minorHAnsi" w:hAnsiTheme="minorHAnsi" w:cstheme="minorHAnsi"/>
          <w:color w:val="000000"/>
          <w:sz w:val="22"/>
          <w:szCs w:val="22"/>
        </w:rPr>
        <w:t>Any</w:t>
      </w:r>
      <w:r>
        <w:rPr>
          <w:rFonts w:asciiTheme="minorHAnsi" w:hAnsiTheme="minorHAnsi" w:cstheme="minorHAnsi"/>
          <w:color w:val="000000"/>
          <w:sz w:val="22"/>
          <w:szCs w:val="22"/>
        </w:rPr>
        <w:t xml:space="preserve"> Commonwealth entity or company that provides bonuses must have a bonus policy that is disclosed as per section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_Ref74747502 \r \h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00FB5504">
        <w:rPr>
          <w:rFonts w:asciiTheme="minorHAnsi" w:hAnsiTheme="minorHAnsi" w:cstheme="minorHAnsi"/>
          <w:color w:val="000000"/>
          <w:sz w:val="22"/>
          <w:szCs w:val="22"/>
        </w:rPr>
        <w:t>23</w:t>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of this Guidance. This could be part of a wider remuneration policy, a performance management policy or similar. </w:t>
      </w:r>
    </w:p>
    <w:p w14:paraId="49024C00" w14:textId="77777777" w:rsidR="00882F3D" w:rsidRPr="00D60E14"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sidRPr="00D60E14">
        <w:rPr>
          <w:rFonts w:asciiTheme="minorHAnsi" w:hAnsiTheme="minorHAnsi" w:cstheme="minorHAnsi"/>
          <w:color w:val="000000"/>
          <w:sz w:val="22"/>
          <w:szCs w:val="22"/>
        </w:rPr>
        <w:t>An entity</w:t>
      </w:r>
      <w:r>
        <w:rPr>
          <w:rFonts w:asciiTheme="minorHAnsi" w:hAnsiTheme="minorHAnsi" w:cstheme="minorHAnsi"/>
          <w:color w:val="000000"/>
          <w:sz w:val="22"/>
          <w:szCs w:val="22"/>
        </w:rPr>
        <w:t>’s or company</w:t>
      </w:r>
      <w:r w:rsidRPr="00D60E14">
        <w:rPr>
          <w:rFonts w:asciiTheme="minorHAnsi" w:hAnsiTheme="minorHAnsi" w:cstheme="minorHAnsi"/>
          <w:color w:val="000000"/>
          <w:sz w:val="22"/>
          <w:szCs w:val="22"/>
        </w:rPr>
        <w:t>’s</w:t>
      </w:r>
      <w:r w:rsidRPr="00F70495">
        <w:rPr>
          <w:rFonts w:asciiTheme="minorHAnsi" w:hAnsiTheme="minorHAnsi"/>
          <w:color w:val="000000"/>
          <w:sz w:val="22"/>
        </w:rPr>
        <w:t xml:space="preserve"> performance bonus </w:t>
      </w:r>
      <w:r w:rsidRPr="00D60E14">
        <w:rPr>
          <w:rFonts w:asciiTheme="minorHAnsi" w:hAnsiTheme="minorHAnsi" w:cstheme="minorHAnsi"/>
          <w:color w:val="000000"/>
          <w:sz w:val="22"/>
          <w:szCs w:val="22"/>
        </w:rPr>
        <w:t>policy</w:t>
      </w:r>
      <w:r w:rsidRPr="00F70495">
        <w:rPr>
          <w:rFonts w:asciiTheme="minorHAnsi" w:hAnsiTheme="minorHAnsi"/>
          <w:color w:val="000000"/>
          <w:sz w:val="22"/>
        </w:rPr>
        <w:t xml:space="preserve"> must be reviewed annually and individual arrangements must be reviewed regularly</w:t>
      </w:r>
      <w:r w:rsidRPr="00D60E14">
        <w:rPr>
          <w:rFonts w:asciiTheme="minorHAnsi" w:hAnsiTheme="minorHAnsi" w:cstheme="minorHAnsi"/>
          <w:color w:val="000000"/>
          <w:sz w:val="22"/>
          <w:szCs w:val="22"/>
        </w:rPr>
        <w:t>. It is recommended that the review of an entity</w:t>
      </w:r>
      <w:r>
        <w:rPr>
          <w:rFonts w:asciiTheme="minorHAnsi" w:hAnsiTheme="minorHAnsi" w:cstheme="minorHAnsi"/>
          <w:color w:val="000000"/>
          <w:sz w:val="22"/>
          <w:szCs w:val="22"/>
        </w:rPr>
        <w:t>’s or company</w:t>
      </w:r>
      <w:r w:rsidRPr="00D60E14">
        <w:rPr>
          <w:rFonts w:asciiTheme="minorHAnsi" w:hAnsiTheme="minorHAnsi" w:cstheme="minorHAnsi"/>
          <w:color w:val="000000"/>
          <w:sz w:val="22"/>
          <w:szCs w:val="22"/>
        </w:rPr>
        <w:t xml:space="preserve">’s policy is </w:t>
      </w:r>
      <w:r w:rsidRPr="00F70495">
        <w:rPr>
          <w:rFonts w:asciiTheme="minorHAnsi" w:hAnsiTheme="minorHAnsi"/>
          <w:color w:val="000000"/>
          <w:sz w:val="22"/>
        </w:rPr>
        <w:t>considered by</w:t>
      </w:r>
      <w:r w:rsidRPr="00D60E14">
        <w:rPr>
          <w:rFonts w:asciiTheme="minorHAnsi" w:hAnsiTheme="minorHAnsi" w:cstheme="minorHAnsi"/>
          <w:color w:val="000000"/>
          <w:sz w:val="22"/>
          <w:szCs w:val="22"/>
        </w:rPr>
        <w:t xml:space="preserve"> </w:t>
      </w:r>
      <w:r>
        <w:rPr>
          <w:rFonts w:asciiTheme="minorHAnsi" w:hAnsiTheme="minorHAnsi" w:cstheme="minorHAnsi"/>
          <w:color w:val="000000"/>
          <w:sz w:val="22"/>
          <w:szCs w:val="22"/>
        </w:rPr>
        <w:t>its</w:t>
      </w:r>
      <w:r w:rsidRPr="00D60E14">
        <w:rPr>
          <w:rFonts w:asciiTheme="minorHAnsi" w:hAnsiTheme="minorHAnsi" w:cstheme="minorHAnsi"/>
          <w:color w:val="000000"/>
          <w:sz w:val="22"/>
          <w:szCs w:val="22"/>
        </w:rPr>
        <w:t xml:space="preserve"> Audit Committee.</w:t>
      </w:r>
    </w:p>
    <w:p w14:paraId="782A77C9" w14:textId="77777777" w:rsidR="00882F3D"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sidRPr="00900D30">
        <w:rPr>
          <w:rFonts w:asciiTheme="minorHAnsi" w:hAnsiTheme="minorHAnsi" w:cstheme="minorHAnsi"/>
          <w:color w:val="000000"/>
          <w:sz w:val="22"/>
          <w:szCs w:val="22"/>
        </w:rPr>
        <w:t xml:space="preserve">Assessment criteria </w:t>
      </w:r>
      <w:r>
        <w:rPr>
          <w:rFonts w:asciiTheme="minorHAnsi" w:hAnsiTheme="minorHAnsi" w:cstheme="minorHAnsi"/>
          <w:color w:val="000000"/>
          <w:sz w:val="22"/>
          <w:szCs w:val="22"/>
        </w:rPr>
        <w:t>must</w:t>
      </w:r>
      <w:r w:rsidRPr="00900D30">
        <w:rPr>
          <w:rFonts w:asciiTheme="minorHAnsi" w:hAnsiTheme="minorHAnsi" w:cstheme="minorHAnsi"/>
          <w:color w:val="000000"/>
          <w:sz w:val="22"/>
          <w:szCs w:val="22"/>
        </w:rPr>
        <w:t xml:space="preserve"> be transparent reinforcing that all decisions are justifiable.</w:t>
      </w:r>
    </w:p>
    <w:p w14:paraId="3CE7BB84" w14:textId="77777777" w:rsidR="00882F3D"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Parameters for performance bonuses must be set in advance of a performance period and not retrospectively established.</w:t>
      </w:r>
    </w:p>
    <w:p w14:paraId="4A88578B" w14:textId="37D336BD" w:rsidR="0059124C" w:rsidRPr="00882F3D" w:rsidRDefault="00882F3D" w:rsidP="00882F3D">
      <w:pPr>
        <w:pStyle w:val="NormalWeb"/>
        <w:numPr>
          <w:ilvl w:val="0"/>
          <w:numId w:val="25"/>
        </w:numPr>
        <w:spacing w:after="120" w:afterAutospacing="0" w:line="276" w:lineRule="auto"/>
        <w:rPr>
          <w:rFonts w:asciiTheme="minorHAnsi" w:hAnsiTheme="minorHAnsi" w:cstheme="minorHAnsi"/>
          <w:color w:val="000000"/>
          <w:sz w:val="22"/>
          <w:szCs w:val="22"/>
        </w:rPr>
        <w:sectPr w:rsidR="0059124C" w:rsidRPr="00882F3D" w:rsidSect="00881426">
          <w:headerReference w:type="even" r:id="rId19"/>
          <w:headerReference w:type="default" r:id="rId20"/>
          <w:footerReference w:type="even" r:id="rId21"/>
          <w:pgSz w:w="11906" w:h="16838"/>
          <w:pgMar w:top="1418" w:right="851" w:bottom="1134" w:left="851" w:header="851" w:footer="567" w:gutter="0"/>
          <w:pgBorders w:display="firstPage" w:offsetFrom="page">
            <w:top w:val="single" w:sz="12" w:space="24" w:color="FFFFFF" w:themeColor="background1"/>
            <w:left w:val="single" w:sz="12" w:space="24" w:color="FFFFFF" w:themeColor="background1"/>
            <w:bottom w:val="single" w:sz="12" w:space="24" w:color="FFFFFF" w:themeColor="background1"/>
            <w:right w:val="single" w:sz="12" w:space="24" w:color="FFFFFF" w:themeColor="background1"/>
          </w:pgBorders>
          <w:pgNumType w:start="1"/>
          <w:cols w:space="708"/>
          <w:docGrid w:linePitch="360"/>
        </w:sectPr>
      </w:pPr>
      <w:r w:rsidRPr="00882F3D">
        <w:rPr>
          <w:rFonts w:asciiTheme="minorHAnsi" w:hAnsiTheme="minorHAnsi" w:cstheme="minorHAnsi"/>
          <w:color w:val="000000"/>
          <w:sz w:val="22"/>
          <w:szCs w:val="22"/>
        </w:rPr>
        <w:t>In accordance with their obligations, Commonwealth entities and companies should report relevant information to the Remuneration Tribunal</w:t>
      </w:r>
      <w:r w:rsidRPr="00882F3D">
        <w:rPr>
          <w:rFonts w:asciiTheme="minorHAnsi" w:hAnsiTheme="minorHAnsi" w:cstheme="minorHAnsi"/>
          <w:color w:val="000000"/>
        </w:rPr>
        <w:t>.</w:t>
      </w:r>
    </w:p>
    <w:p w14:paraId="20C95BB8" w14:textId="52D48856" w:rsidR="00B7521A" w:rsidRPr="0059124C" w:rsidRDefault="00C955D7" w:rsidP="0059124C">
      <w:pPr>
        <w:rPr>
          <w:rFonts w:ascii="Times New Roman" w:eastAsia="Times New Roman" w:hAnsi="Times New Roman" w:cs="Times New Roman"/>
          <w:sz w:val="20"/>
          <w:szCs w:val="20"/>
          <w:lang w:val="en-US" w:eastAsia="en-US"/>
        </w:rPr>
      </w:pPr>
      <w:r>
        <w:rPr>
          <w:rFonts w:ascii="Times New Roman" w:eastAsia="Times New Roman" w:hAnsi="Times New Roman" w:cs="Times New Roman"/>
          <w:noProof/>
          <w:sz w:val="20"/>
          <w:szCs w:val="20"/>
        </w:rPr>
        <w:lastRenderedPageBreak/>
        <w:drawing>
          <wp:anchor distT="0" distB="0" distL="114300" distR="114300" simplePos="0" relativeHeight="251663872" behindDoc="1" locked="0" layoutInCell="1" allowOverlap="1" wp14:anchorId="3E7F3138" wp14:editId="1DCB4E9C">
            <wp:simplePos x="0" y="0"/>
            <wp:positionH relativeFrom="column">
              <wp:posOffset>-902524</wp:posOffset>
            </wp:positionH>
            <wp:positionV relativeFrom="paragraph">
              <wp:posOffset>-915035</wp:posOffset>
            </wp:positionV>
            <wp:extent cx="11429365" cy="1349644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png"/>
                    <pic:cNvPicPr/>
                  </pic:nvPicPr>
                  <pic:blipFill rotWithShape="1">
                    <a:blip r:embed="rId11">
                      <a:extLst>
                        <a:ext uri="{28A0092B-C50C-407E-A947-70E740481C1C}">
                          <a14:useLocalDpi xmlns:a14="http://schemas.microsoft.com/office/drawing/2010/main" val="0"/>
                        </a:ext>
                      </a:extLst>
                    </a:blip>
                    <a:srcRect t="44244"/>
                    <a:stretch/>
                  </pic:blipFill>
                  <pic:spPr bwMode="auto">
                    <a:xfrm>
                      <a:off x="0" y="0"/>
                      <a:ext cx="11429365" cy="1349644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7521A" w:rsidRPr="0059124C" w:rsidSect="00596A76">
      <w:type w:val="continuous"/>
      <w:pgSz w:w="11906" w:h="16838"/>
      <w:pgMar w:top="1418" w:right="851" w:bottom="1134" w:left="851" w:header="851" w:footer="567" w:gutter="0"/>
      <w:pgBorders w:display="firstPage"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F9A8F" w14:textId="77777777" w:rsidR="005D3092" w:rsidRPr="00E263FC" w:rsidRDefault="005D3092" w:rsidP="00E263FC">
      <w:r>
        <w:separator/>
      </w:r>
    </w:p>
  </w:endnote>
  <w:endnote w:type="continuationSeparator" w:id="0">
    <w:p w14:paraId="12421DCB" w14:textId="77777777" w:rsidR="005D3092" w:rsidRPr="00E263FC" w:rsidRDefault="005D3092" w:rsidP="00E263FC">
      <w:r>
        <w:continuationSeparator/>
      </w:r>
    </w:p>
  </w:endnote>
  <w:endnote w:type="continuationNotice" w:id="1">
    <w:p w14:paraId="27F92C66" w14:textId="77777777" w:rsidR="005D3092" w:rsidRDefault="005D3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5D1F" w14:textId="0DDA5410" w:rsidR="0053514E" w:rsidRDefault="005F7084" w:rsidP="00660CF3">
    <w:pPr>
      <w:pStyle w:val="APSCPagenumbercentered"/>
      <w:jc w:val="center"/>
    </w:pPr>
    <w:r>
      <w:fldChar w:fldCharType="begin"/>
    </w:r>
    <w:r>
      <w:instrText xml:space="preserve"> PAGE   \* MERGEFORMAT </w:instrText>
    </w:r>
    <w:r>
      <w:fldChar w:fldCharType="separate"/>
    </w:r>
    <w:r w:rsidR="0087163F">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19AF6" w14:textId="1AEDFEA5" w:rsidR="0053514E" w:rsidRPr="00A94E0D" w:rsidRDefault="005F7084" w:rsidP="005F7084">
    <w:pPr>
      <w:pStyle w:val="APSCPagenumbercentered"/>
      <w:jc w:val="right"/>
    </w:pPr>
    <w:r>
      <w:t>A</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208154"/>
      <w:docPartObj>
        <w:docPartGallery w:val="Page Numbers (Bottom of Page)"/>
        <w:docPartUnique/>
      </w:docPartObj>
    </w:sdtPr>
    <w:sdtEndPr/>
    <w:sdtContent>
      <w:sdt>
        <w:sdtPr>
          <w:id w:val="24830529"/>
          <w:docPartObj>
            <w:docPartGallery w:val="Page Numbers (Top of Page)"/>
            <w:docPartUnique/>
          </w:docPartObj>
        </w:sdtPr>
        <w:sdtEndPr/>
        <w:sdtContent>
          <w:p w14:paraId="272586FD" w14:textId="280233CE" w:rsidR="00881426" w:rsidRPr="00361BF2" w:rsidRDefault="00881426" w:rsidP="00660CF3">
            <w:pPr>
              <w:pStyle w:val="Footer"/>
              <w:jc w:val="center"/>
            </w:pPr>
            <w:r w:rsidRPr="002C11E6">
              <w:fldChar w:fldCharType="begin"/>
            </w:r>
            <w:r w:rsidRPr="002C11E6">
              <w:instrText xml:space="preserve"> PAGE </w:instrText>
            </w:r>
            <w:r w:rsidRPr="002C11E6">
              <w:fldChar w:fldCharType="separate"/>
            </w:r>
            <w:r w:rsidR="0087163F">
              <w:rPr>
                <w:noProof/>
              </w:rPr>
              <w:t>0</w:t>
            </w:r>
            <w:r w:rsidRPr="002C11E6">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10195" w14:textId="77777777" w:rsidR="005D3092" w:rsidRPr="00E263FC" w:rsidRDefault="005D3092" w:rsidP="00E263FC">
      <w:r>
        <w:separator/>
      </w:r>
    </w:p>
  </w:footnote>
  <w:footnote w:type="continuationSeparator" w:id="0">
    <w:p w14:paraId="2FE82E44" w14:textId="77777777" w:rsidR="005D3092" w:rsidRPr="00E263FC" w:rsidRDefault="005D3092" w:rsidP="00E263FC">
      <w:r>
        <w:continuationSeparator/>
      </w:r>
    </w:p>
  </w:footnote>
  <w:footnote w:type="continuationNotice" w:id="1">
    <w:p w14:paraId="330E3668" w14:textId="77777777" w:rsidR="005D3092" w:rsidRDefault="005D3092">
      <w:pPr>
        <w:spacing w:after="0" w:line="240" w:lineRule="auto"/>
      </w:pPr>
    </w:p>
  </w:footnote>
  <w:footnote w:id="2">
    <w:p w14:paraId="6506A612" w14:textId="77777777" w:rsidR="00882F3D" w:rsidRDefault="00882F3D" w:rsidP="00882F3D">
      <w:pPr>
        <w:pStyle w:val="FootnoteText"/>
      </w:pPr>
      <w:r>
        <w:rPr>
          <w:rStyle w:val="FootnoteReference"/>
        </w:rPr>
        <w:footnoteRef/>
      </w:r>
      <w:r>
        <w:t xml:space="preserve"> Key Management Personnel, Senior Executives and Other Highly Paid Staff are defined terms in the PGPA Rule 2014.</w:t>
      </w:r>
    </w:p>
  </w:footnote>
  <w:footnote w:id="3">
    <w:p w14:paraId="4B1DE3D2" w14:textId="4CEE8659" w:rsidR="00882F3D" w:rsidRDefault="00882F3D" w:rsidP="00882F3D">
      <w:pPr>
        <w:pStyle w:val="FootnoteText"/>
      </w:pPr>
      <w:r>
        <w:rPr>
          <w:rStyle w:val="FootnoteReference"/>
        </w:rPr>
        <w:footnoteRef/>
      </w:r>
      <w:r>
        <w:t xml:space="preserve"> In these principles a performance bonus is defined as an ‘at risk’ short term incentive, variable remuneration, and one-off non-monetary and monetary payments, which are provided based on performance. This also includes non-remunerative gifts or incentives.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B9E3F" w14:textId="765B8FE0" w:rsidR="0053514E" w:rsidRPr="00396A4A" w:rsidRDefault="005D3092" w:rsidP="00FB08FD">
    <w:pPr>
      <w:pStyle w:val="Header"/>
      <w:pBdr>
        <w:bottom w:val="single" w:sz="6" w:space="1" w:color="auto"/>
      </w:pBdr>
      <w:jc w:val="right"/>
    </w:pPr>
    <w:sdt>
      <w:sdtPr>
        <w:alias w:val="Title"/>
        <w:tag w:val=""/>
        <w:id w:val="836966710"/>
        <w:dataBinding w:prefixMappings="xmlns:ns0='http://purl.org/dc/elements/1.1/' xmlns:ns1='http://schemas.openxmlformats.org/package/2006/metadata/core-properties' " w:xpath="/ns1:coreProperties[1]/ns0:title[1]" w:storeItemID="{6C3C8BC8-F283-45AE-878A-BAB7291924A1}"/>
        <w:text/>
      </w:sdtPr>
      <w:sdtEndPr/>
      <w:sdtContent>
        <w:r w:rsidR="00882F3D">
          <w:t>Performance Bonus Guidance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1E26" w14:textId="77777777" w:rsidR="00881426" w:rsidRPr="00E77086" w:rsidRDefault="005D3092" w:rsidP="00FB08FD">
    <w:pPr>
      <w:pStyle w:val="Header"/>
      <w:pBdr>
        <w:bottom w:val="single" w:sz="6" w:space="1" w:color="auto"/>
      </w:pBdr>
      <w:jc w:val="right"/>
    </w:pPr>
    <w:sdt>
      <w:sdtPr>
        <w:alias w:val="Title"/>
        <w:tag w:val=""/>
        <w:id w:val="2133051677"/>
        <w:dataBinding w:prefixMappings="xmlns:ns0='http://purl.org/dc/elements/1.1/' xmlns:ns1='http://schemas.openxmlformats.org/package/2006/metadata/core-properties' " w:xpath="/ns1:coreProperties[1]/ns0:title[1]" w:storeItemID="{6C3C8BC8-F283-45AE-878A-BAB7291924A1}"/>
        <w:text/>
      </w:sdtPr>
      <w:sdtEndPr/>
      <w:sdtContent>
        <w:r w:rsidR="00881426">
          <w:t>Performance Bonus Guidance</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B2720" w14:textId="77777777" w:rsidR="00881426" w:rsidRPr="00396A4A" w:rsidRDefault="005D3092" w:rsidP="00FB08FD">
    <w:pPr>
      <w:pStyle w:val="Header"/>
      <w:pBdr>
        <w:bottom w:val="single" w:sz="6" w:space="1" w:color="auto"/>
      </w:pBdr>
      <w:jc w:val="right"/>
    </w:pPr>
    <w:sdt>
      <w:sdtPr>
        <w:alias w:val="Title"/>
        <w:tag w:val=""/>
        <w:id w:val="-2140879368"/>
        <w:dataBinding w:prefixMappings="xmlns:ns0='http://purl.org/dc/elements/1.1/' xmlns:ns1='http://schemas.openxmlformats.org/package/2006/metadata/core-properties' " w:xpath="/ns1:coreProperties[1]/ns0:title[1]" w:storeItemID="{6C3C8BC8-F283-45AE-878A-BAB7291924A1}"/>
        <w:text/>
      </w:sdtPr>
      <w:sdtEndPr/>
      <w:sdtContent>
        <w:r w:rsidR="00881426">
          <w:t>Performance Bonus Guidance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21CD"/>
    <w:multiLevelType w:val="hybridMultilevel"/>
    <w:tmpl w:val="DCBCD680"/>
    <w:lvl w:ilvl="0" w:tplc="0C090019">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 w15:restartNumberingAfterBreak="0">
    <w:nsid w:val="06F91CDB"/>
    <w:multiLevelType w:val="hybridMultilevel"/>
    <w:tmpl w:val="79E84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337062"/>
    <w:multiLevelType w:val="hybridMultilevel"/>
    <w:tmpl w:val="247280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913DD1"/>
    <w:multiLevelType w:val="hybridMultilevel"/>
    <w:tmpl w:val="D4242906"/>
    <w:lvl w:ilvl="0" w:tplc="1ADCC680">
      <w:start w:val="1"/>
      <w:numFmt w:val="bullet"/>
      <w:pStyle w:val="APSC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170667"/>
    <w:multiLevelType w:val="hybridMultilevel"/>
    <w:tmpl w:val="A28C61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8A1BAA"/>
    <w:multiLevelType w:val="hybridMultilevel"/>
    <w:tmpl w:val="0D9681BA"/>
    <w:lvl w:ilvl="0" w:tplc="0C090019">
      <w:start w:val="1"/>
      <w:numFmt w:val="lowerLetter"/>
      <w:lvlText w:val="%1."/>
      <w:lvlJc w:val="left"/>
      <w:pPr>
        <w:ind w:left="1222" w:hanging="360"/>
      </w:p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6" w15:restartNumberingAfterBreak="0">
    <w:nsid w:val="2C3661CA"/>
    <w:multiLevelType w:val="hybridMultilevel"/>
    <w:tmpl w:val="5D0C3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545673"/>
    <w:multiLevelType w:val="hybridMultilevel"/>
    <w:tmpl w:val="6D3E77D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35413BBF"/>
    <w:multiLevelType w:val="hybridMultilevel"/>
    <w:tmpl w:val="319E03E8"/>
    <w:lvl w:ilvl="0" w:tplc="E7A0AA7E">
      <w:start w:val="1"/>
      <w:numFmt w:val="lowerLetter"/>
      <w:lvlText w:val="%1."/>
      <w:lvlJc w:val="left"/>
      <w:pPr>
        <w:ind w:left="1440" w:hanging="360"/>
      </w:pPr>
      <w:rPr>
        <w:rFonts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B5C6639"/>
    <w:multiLevelType w:val="hybridMultilevel"/>
    <w:tmpl w:val="B92EC2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5C7E2D"/>
    <w:multiLevelType w:val="hybridMultilevel"/>
    <w:tmpl w:val="9D08A142"/>
    <w:lvl w:ilvl="0" w:tplc="E508101E">
      <w:start w:val="1"/>
      <w:numFmt w:val="decimal"/>
      <w:lvlText w:val="%1."/>
      <w:lvlJc w:val="left"/>
      <w:pPr>
        <w:ind w:left="360" w:hanging="360"/>
      </w:pPr>
      <w:rPr>
        <w:rFonts w:asciiTheme="minorHAnsi" w:hAnsiTheme="minorHAnsi"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E201EA">
      <w:start w:val="1"/>
      <w:numFmt w:val="decimal"/>
      <w:lvlText w:val="%2."/>
      <w:lvlJc w:val="left"/>
      <w:pPr>
        <w:ind w:left="1080" w:hanging="360"/>
      </w:pPr>
      <w:rPr>
        <w:rFonts w:hint="default"/>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F137FEE"/>
    <w:multiLevelType w:val="hybridMultilevel"/>
    <w:tmpl w:val="4678D1F0"/>
    <w:lvl w:ilvl="0" w:tplc="0C090019">
      <w:start w:val="1"/>
      <w:numFmt w:val="lowerLetter"/>
      <w:lvlText w:val="%1."/>
      <w:lvlJc w:val="left"/>
      <w:pPr>
        <w:ind w:left="720"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E201EA">
      <w:start w:val="1"/>
      <w:numFmt w:val="decimal"/>
      <w:lvlText w:val="%2."/>
      <w:lvlJc w:val="left"/>
      <w:pPr>
        <w:ind w:left="1440" w:hanging="360"/>
      </w:pPr>
      <w:rPr>
        <w:rFonts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201F48"/>
    <w:multiLevelType w:val="hybridMultilevel"/>
    <w:tmpl w:val="BC464AD0"/>
    <w:lvl w:ilvl="0" w:tplc="65A043A6">
      <w:start w:val="1"/>
      <w:numFmt w:val="decimal"/>
      <w:lvlText w:val="%1."/>
      <w:lvlJc w:val="left"/>
      <w:pPr>
        <w:ind w:left="502" w:hanging="360"/>
      </w:pPr>
      <w:rPr>
        <w:color w:val="000000" w:themeColor="text1"/>
        <w:sz w:val="24"/>
        <w:szCs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455228AF"/>
    <w:multiLevelType w:val="hybridMultilevel"/>
    <w:tmpl w:val="19763E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6D73F6"/>
    <w:multiLevelType w:val="hybridMultilevel"/>
    <w:tmpl w:val="FE0000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783B0C"/>
    <w:multiLevelType w:val="hybridMultilevel"/>
    <w:tmpl w:val="10D4122E"/>
    <w:lvl w:ilvl="0" w:tplc="0C090019">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15:restartNumberingAfterBreak="0">
    <w:nsid w:val="4B36153A"/>
    <w:multiLevelType w:val="hybridMultilevel"/>
    <w:tmpl w:val="8C32F4CC"/>
    <w:lvl w:ilvl="0" w:tplc="F86CD70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1D3378"/>
    <w:multiLevelType w:val="hybridMultilevel"/>
    <w:tmpl w:val="8B3AAFC0"/>
    <w:lvl w:ilvl="0" w:tplc="615EC234">
      <w:start w:val="1"/>
      <w:numFmt w:val="bullet"/>
      <w:pStyle w:val="APSC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2B63FF"/>
    <w:multiLevelType w:val="hybridMultilevel"/>
    <w:tmpl w:val="6FDA7FD8"/>
    <w:lvl w:ilvl="0" w:tplc="324E20FA">
      <w:numFmt w:val="bullet"/>
      <w:lvlText w:val="-"/>
      <w:lvlJc w:val="left"/>
      <w:pPr>
        <w:ind w:left="814" w:hanging="360"/>
      </w:pPr>
      <w:rPr>
        <w:rFonts w:ascii="Calibri" w:eastAsiaTheme="minorHAnsi" w:hAnsi="Calibri" w:cs="Calibri"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9" w15:restartNumberingAfterBreak="0">
    <w:nsid w:val="719B1350"/>
    <w:multiLevelType w:val="hybridMultilevel"/>
    <w:tmpl w:val="2044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81450A"/>
    <w:multiLevelType w:val="hybridMultilevel"/>
    <w:tmpl w:val="AD8E93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A75340"/>
    <w:multiLevelType w:val="hybridMultilevel"/>
    <w:tmpl w:val="E59AEC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087B83"/>
    <w:multiLevelType w:val="hybridMultilevel"/>
    <w:tmpl w:val="337A27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1D7CF8"/>
    <w:multiLevelType w:val="hybridMultilevel"/>
    <w:tmpl w:val="133C5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7"/>
  </w:num>
  <w:num w:numId="3">
    <w:abstractNumId w:val="3"/>
  </w:num>
  <w:num w:numId="4">
    <w:abstractNumId w:val="12"/>
  </w:num>
  <w:num w:numId="5">
    <w:abstractNumId w:val="0"/>
  </w:num>
  <w:num w:numId="6">
    <w:abstractNumId w:val="5"/>
  </w:num>
  <w:num w:numId="7">
    <w:abstractNumId w:val="15"/>
  </w:num>
  <w:num w:numId="8">
    <w:abstractNumId w:val="10"/>
  </w:num>
  <w:num w:numId="9">
    <w:abstractNumId w:val="11"/>
  </w:num>
  <w:num w:numId="10">
    <w:abstractNumId w:val="6"/>
  </w:num>
  <w:num w:numId="11">
    <w:abstractNumId w:val="2"/>
  </w:num>
  <w:num w:numId="12">
    <w:abstractNumId w:val="13"/>
  </w:num>
  <w:num w:numId="13">
    <w:abstractNumId w:val="4"/>
  </w:num>
  <w:num w:numId="14">
    <w:abstractNumId w:val="1"/>
  </w:num>
  <w:num w:numId="15">
    <w:abstractNumId w:val="22"/>
  </w:num>
  <w:num w:numId="16">
    <w:abstractNumId w:val="24"/>
  </w:num>
  <w:num w:numId="17">
    <w:abstractNumId w:val="14"/>
  </w:num>
  <w:num w:numId="18">
    <w:abstractNumId w:val="9"/>
  </w:num>
  <w:num w:numId="19">
    <w:abstractNumId w:val="21"/>
  </w:num>
  <w:num w:numId="20">
    <w:abstractNumId w:val="23"/>
  </w:num>
  <w:num w:numId="21">
    <w:abstractNumId w:val="19"/>
  </w:num>
  <w:num w:numId="22">
    <w:abstractNumId w:val="7"/>
  </w:num>
  <w:num w:numId="23">
    <w:abstractNumId w:val="18"/>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documentProtection w:formatting="1" w:enforcement="0"/>
  <w:styleLockTheme/>
  <w:styleLockQFSet/>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2A"/>
    <w:rsid w:val="00001C73"/>
    <w:rsid w:val="00013E82"/>
    <w:rsid w:val="00020D6D"/>
    <w:rsid w:val="00041036"/>
    <w:rsid w:val="00061535"/>
    <w:rsid w:val="00067C48"/>
    <w:rsid w:val="000A0645"/>
    <w:rsid w:val="000E2116"/>
    <w:rsid w:val="000E61D8"/>
    <w:rsid w:val="00131BFB"/>
    <w:rsid w:val="00170C6C"/>
    <w:rsid w:val="00183A3F"/>
    <w:rsid w:val="00184E30"/>
    <w:rsid w:val="001A61F8"/>
    <w:rsid w:val="001B75A5"/>
    <w:rsid w:val="001D28E6"/>
    <w:rsid w:val="001D5E88"/>
    <w:rsid w:val="001E03A2"/>
    <w:rsid w:val="00203843"/>
    <w:rsid w:val="0021497C"/>
    <w:rsid w:val="002304D5"/>
    <w:rsid w:val="002403F4"/>
    <w:rsid w:val="002461E6"/>
    <w:rsid w:val="0027222A"/>
    <w:rsid w:val="00272773"/>
    <w:rsid w:val="002824B5"/>
    <w:rsid w:val="0028263B"/>
    <w:rsid w:val="002A5B07"/>
    <w:rsid w:val="002A6AA0"/>
    <w:rsid w:val="002C11E6"/>
    <w:rsid w:val="002D507A"/>
    <w:rsid w:val="00300335"/>
    <w:rsid w:val="003140B3"/>
    <w:rsid w:val="003164EF"/>
    <w:rsid w:val="003210F7"/>
    <w:rsid w:val="00340E75"/>
    <w:rsid w:val="003453FC"/>
    <w:rsid w:val="00361BF2"/>
    <w:rsid w:val="003776A6"/>
    <w:rsid w:val="00396A4A"/>
    <w:rsid w:val="003C26DD"/>
    <w:rsid w:val="003D4D59"/>
    <w:rsid w:val="003E1976"/>
    <w:rsid w:val="003E3898"/>
    <w:rsid w:val="003E676D"/>
    <w:rsid w:val="003F0672"/>
    <w:rsid w:val="003F15A0"/>
    <w:rsid w:val="004121DC"/>
    <w:rsid w:val="00414D73"/>
    <w:rsid w:val="004150C3"/>
    <w:rsid w:val="00426945"/>
    <w:rsid w:val="00435F50"/>
    <w:rsid w:val="00441621"/>
    <w:rsid w:val="00442FE4"/>
    <w:rsid w:val="0046234B"/>
    <w:rsid w:val="00480653"/>
    <w:rsid w:val="004A2CF0"/>
    <w:rsid w:val="004A6F5B"/>
    <w:rsid w:val="004B79B4"/>
    <w:rsid w:val="004D2829"/>
    <w:rsid w:val="004E3FEC"/>
    <w:rsid w:val="004E4335"/>
    <w:rsid w:val="005074E9"/>
    <w:rsid w:val="00530638"/>
    <w:rsid w:val="00531D55"/>
    <w:rsid w:val="0053514E"/>
    <w:rsid w:val="00536095"/>
    <w:rsid w:val="00543C71"/>
    <w:rsid w:val="00550E8E"/>
    <w:rsid w:val="00553150"/>
    <w:rsid w:val="00554452"/>
    <w:rsid w:val="0055552A"/>
    <w:rsid w:val="0055582B"/>
    <w:rsid w:val="00560557"/>
    <w:rsid w:val="005675A1"/>
    <w:rsid w:val="005716E3"/>
    <w:rsid w:val="00572585"/>
    <w:rsid w:val="00581898"/>
    <w:rsid w:val="0059124C"/>
    <w:rsid w:val="00591560"/>
    <w:rsid w:val="00593BFA"/>
    <w:rsid w:val="00594942"/>
    <w:rsid w:val="00596A76"/>
    <w:rsid w:val="005A20AB"/>
    <w:rsid w:val="005B44C7"/>
    <w:rsid w:val="005C2939"/>
    <w:rsid w:val="005D2DF0"/>
    <w:rsid w:val="005D3092"/>
    <w:rsid w:val="005D5EFF"/>
    <w:rsid w:val="005E11A4"/>
    <w:rsid w:val="005F4D64"/>
    <w:rsid w:val="005F7084"/>
    <w:rsid w:val="0060767A"/>
    <w:rsid w:val="0061161B"/>
    <w:rsid w:val="00660CF3"/>
    <w:rsid w:val="0066448B"/>
    <w:rsid w:val="00667B3C"/>
    <w:rsid w:val="00687307"/>
    <w:rsid w:val="006A4EA9"/>
    <w:rsid w:val="006B4183"/>
    <w:rsid w:val="006B6216"/>
    <w:rsid w:val="006B6471"/>
    <w:rsid w:val="006C7DA0"/>
    <w:rsid w:val="006D07A3"/>
    <w:rsid w:val="006D7736"/>
    <w:rsid w:val="006D7853"/>
    <w:rsid w:val="006E3386"/>
    <w:rsid w:val="006F7A90"/>
    <w:rsid w:val="007240F9"/>
    <w:rsid w:val="00724BD4"/>
    <w:rsid w:val="007305EE"/>
    <w:rsid w:val="0077460A"/>
    <w:rsid w:val="00780252"/>
    <w:rsid w:val="0078515D"/>
    <w:rsid w:val="0079400B"/>
    <w:rsid w:val="007A38D2"/>
    <w:rsid w:val="007A57CA"/>
    <w:rsid w:val="007C0832"/>
    <w:rsid w:val="007F5CBC"/>
    <w:rsid w:val="008567EB"/>
    <w:rsid w:val="00863254"/>
    <w:rsid w:val="0087163F"/>
    <w:rsid w:val="00881426"/>
    <w:rsid w:val="00882F3D"/>
    <w:rsid w:val="00887895"/>
    <w:rsid w:val="0089443D"/>
    <w:rsid w:val="008950A0"/>
    <w:rsid w:val="008A503D"/>
    <w:rsid w:val="008B05B2"/>
    <w:rsid w:val="008C20DF"/>
    <w:rsid w:val="008E54D8"/>
    <w:rsid w:val="0090317C"/>
    <w:rsid w:val="0092030A"/>
    <w:rsid w:val="00922DCF"/>
    <w:rsid w:val="00951447"/>
    <w:rsid w:val="009565D8"/>
    <w:rsid w:val="0096464F"/>
    <w:rsid w:val="00983FEF"/>
    <w:rsid w:val="00994A88"/>
    <w:rsid w:val="009976D0"/>
    <w:rsid w:val="009A54A9"/>
    <w:rsid w:val="009C0202"/>
    <w:rsid w:val="009C047F"/>
    <w:rsid w:val="009C49DB"/>
    <w:rsid w:val="009D4373"/>
    <w:rsid w:val="009E386E"/>
    <w:rsid w:val="00A5158E"/>
    <w:rsid w:val="00A94E0D"/>
    <w:rsid w:val="00AB21D0"/>
    <w:rsid w:val="00AB24AA"/>
    <w:rsid w:val="00AC2EDD"/>
    <w:rsid w:val="00AD5B57"/>
    <w:rsid w:val="00AE026F"/>
    <w:rsid w:val="00B22AD1"/>
    <w:rsid w:val="00B31A3A"/>
    <w:rsid w:val="00B32ECF"/>
    <w:rsid w:val="00B33BA8"/>
    <w:rsid w:val="00B40BE5"/>
    <w:rsid w:val="00B41CD9"/>
    <w:rsid w:val="00B5684C"/>
    <w:rsid w:val="00B72E6D"/>
    <w:rsid w:val="00B7521A"/>
    <w:rsid w:val="00B82D84"/>
    <w:rsid w:val="00B83B40"/>
    <w:rsid w:val="00B95715"/>
    <w:rsid w:val="00BA7B49"/>
    <w:rsid w:val="00BB5CF3"/>
    <w:rsid w:val="00BC72E5"/>
    <w:rsid w:val="00BD2CB6"/>
    <w:rsid w:val="00BD5A3B"/>
    <w:rsid w:val="00BE47A4"/>
    <w:rsid w:val="00C07EE4"/>
    <w:rsid w:val="00C11EBB"/>
    <w:rsid w:val="00C12E7A"/>
    <w:rsid w:val="00C27F32"/>
    <w:rsid w:val="00C41A06"/>
    <w:rsid w:val="00C46DAB"/>
    <w:rsid w:val="00C6551B"/>
    <w:rsid w:val="00C662FB"/>
    <w:rsid w:val="00C669D3"/>
    <w:rsid w:val="00C70735"/>
    <w:rsid w:val="00C72742"/>
    <w:rsid w:val="00C93B5E"/>
    <w:rsid w:val="00C955D7"/>
    <w:rsid w:val="00CB651D"/>
    <w:rsid w:val="00CB7B41"/>
    <w:rsid w:val="00CC4EDE"/>
    <w:rsid w:val="00CC7CED"/>
    <w:rsid w:val="00CD5E91"/>
    <w:rsid w:val="00CF215A"/>
    <w:rsid w:val="00D130A5"/>
    <w:rsid w:val="00D22D48"/>
    <w:rsid w:val="00D26DCB"/>
    <w:rsid w:val="00D51D05"/>
    <w:rsid w:val="00D53031"/>
    <w:rsid w:val="00D53A7D"/>
    <w:rsid w:val="00D62123"/>
    <w:rsid w:val="00D642F9"/>
    <w:rsid w:val="00D806A7"/>
    <w:rsid w:val="00D8252B"/>
    <w:rsid w:val="00D93865"/>
    <w:rsid w:val="00DA185C"/>
    <w:rsid w:val="00DD12E9"/>
    <w:rsid w:val="00DD5DFE"/>
    <w:rsid w:val="00E07210"/>
    <w:rsid w:val="00E13095"/>
    <w:rsid w:val="00E156DB"/>
    <w:rsid w:val="00E17663"/>
    <w:rsid w:val="00E25D33"/>
    <w:rsid w:val="00E263FC"/>
    <w:rsid w:val="00E26A83"/>
    <w:rsid w:val="00E40F43"/>
    <w:rsid w:val="00E413A4"/>
    <w:rsid w:val="00E50496"/>
    <w:rsid w:val="00E600C2"/>
    <w:rsid w:val="00E60319"/>
    <w:rsid w:val="00E77086"/>
    <w:rsid w:val="00EE13C7"/>
    <w:rsid w:val="00EE6D92"/>
    <w:rsid w:val="00F03CB1"/>
    <w:rsid w:val="00F11A66"/>
    <w:rsid w:val="00F30A48"/>
    <w:rsid w:val="00F5003B"/>
    <w:rsid w:val="00F61CCB"/>
    <w:rsid w:val="00F7482C"/>
    <w:rsid w:val="00F75285"/>
    <w:rsid w:val="00F80227"/>
    <w:rsid w:val="00F87234"/>
    <w:rsid w:val="00F941D0"/>
    <w:rsid w:val="00FA43BF"/>
    <w:rsid w:val="00FB08FD"/>
    <w:rsid w:val="00FB5504"/>
    <w:rsid w:val="00FB5DF6"/>
    <w:rsid w:val="00FF20CD"/>
    <w:rsid w:val="00FF3AA2"/>
    <w:rsid w:val="00FF4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C487CC"/>
  <w15:docId w15:val="{36D3F12A-CA33-4D32-AB3A-8102A58B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9E386E"/>
    <w:pPr>
      <w:spacing w:after="120" w:line="300" w:lineRule="auto"/>
    </w:pPr>
    <w:rPr>
      <w:rFonts w:ascii="Calibri" w:hAnsi="Calibri" w:cs="Calibri"/>
      <w:lang w:eastAsia="en-AU"/>
    </w:rPr>
  </w:style>
  <w:style w:type="paragraph" w:styleId="Heading1">
    <w:name w:val="heading 1"/>
    <w:aliases w:val="APSC Heading 1"/>
    <w:next w:val="BodyText"/>
    <w:link w:val="Heading1Char"/>
    <w:qFormat/>
    <w:rsid w:val="009E386E"/>
    <w:pPr>
      <w:keepNext/>
      <w:pageBreakBefore/>
      <w:spacing w:before="360" w:after="120" w:line="240" w:lineRule="auto"/>
      <w:outlineLvl w:val="0"/>
    </w:pPr>
    <w:rPr>
      <w:rFonts w:ascii="Calibri" w:eastAsia="Batang" w:hAnsi="Calibri" w:cs="Arial"/>
      <w:b/>
      <w:bCs/>
      <w:sz w:val="46"/>
      <w:szCs w:val="32"/>
      <w:lang w:eastAsia="en-AU"/>
    </w:rPr>
  </w:style>
  <w:style w:type="paragraph" w:styleId="Heading2">
    <w:name w:val="heading 2"/>
    <w:aliases w:val="APSC Heading 2"/>
    <w:next w:val="Normal"/>
    <w:link w:val="Heading2Char"/>
    <w:qFormat/>
    <w:rsid w:val="009E386E"/>
    <w:pPr>
      <w:keepNext/>
      <w:spacing w:before="240" w:after="120" w:line="240" w:lineRule="auto"/>
      <w:outlineLvl w:val="1"/>
    </w:pPr>
    <w:rPr>
      <w:rFonts w:ascii="Calibri" w:hAnsi="Calibri" w:cs="Arial"/>
      <w:b/>
      <w:bCs/>
      <w:iCs/>
      <w:sz w:val="36"/>
      <w:szCs w:val="28"/>
      <w:lang w:eastAsia="en-AU"/>
    </w:rPr>
  </w:style>
  <w:style w:type="paragraph" w:styleId="Heading3">
    <w:name w:val="heading 3"/>
    <w:aliases w:val="APSC Heading 3"/>
    <w:basedOn w:val="Heading4"/>
    <w:next w:val="Normal"/>
    <w:link w:val="Heading3Char"/>
    <w:rsid w:val="004E3FEC"/>
    <w:pPr>
      <w:outlineLvl w:val="2"/>
    </w:pPr>
  </w:style>
  <w:style w:type="paragraph" w:styleId="Heading4">
    <w:name w:val="heading 4"/>
    <w:aliases w:val="APSC Heading 4"/>
    <w:next w:val="Normal"/>
    <w:link w:val="Heading4Char"/>
    <w:unhideWhenUsed/>
    <w:qFormat/>
    <w:rsid w:val="009E386E"/>
    <w:pPr>
      <w:spacing w:before="360" w:after="120" w:line="240" w:lineRule="auto"/>
      <w:outlineLvl w:val="3"/>
    </w:pPr>
    <w:rPr>
      <w:rFonts w:ascii="Calibri" w:eastAsia="Batang" w:hAnsi="Calibri" w:cs="Arial"/>
      <w:b/>
      <w:bCs/>
      <w:sz w:val="24"/>
      <w:szCs w:val="32"/>
      <w:lang w:eastAsia="en-AU"/>
    </w:rPr>
  </w:style>
  <w:style w:type="paragraph" w:styleId="Heading5">
    <w:name w:val="heading 5"/>
    <w:aliases w:val="APSC Heading 5"/>
    <w:next w:val="Normal"/>
    <w:link w:val="Heading5Char"/>
    <w:unhideWhenUsed/>
    <w:qFormat/>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aliases w:val="APSC Heading 6"/>
    <w:basedOn w:val="Heading5"/>
    <w:next w:val="Normal"/>
    <w:link w:val="Heading6Char"/>
    <w:uiPriority w:val="9"/>
    <w:unhideWhenUsed/>
    <w:qFormat/>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aliases w:val="APSC Heading 1 Char"/>
    <w:basedOn w:val="DefaultParagraphFont"/>
    <w:link w:val="Heading1"/>
    <w:rsid w:val="009E386E"/>
    <w:rPr>
      <w:rFonts w:ascii="Calibri" w:eastAsia="Batang" w:hAnsi="Calibri" w:cs="Arial"/>
      <w:b/>
      <w:bCs/>
      <w:sz w:val="46"/>
      <w:szCs w:val="32"/>
      <w:lang w:eastAsia="en-AU"/>
    </w:rPr>
  </w:style>
  <w:style w:type="character" w:customStyle="1" w:styleId="Heading2Char">
    <w:name w:val="Heading 2 Char"/>
    <w:aliases w:val="APSC Heading 2 Char"/>
    <w:basedOn w:val="DefaultParagraphFont"/>
    <w:link w:val="Heading2"/>
    <w:rsid w:val="009E386E"/>
    <w:rPr>
      <w:rFonts w:ascii="Calibri" w:hAnsi="Calibri" w:cs="Arial"/>
      <w:b/>
      <w:bCs/>
      <w:iCs/>
      <w:sz w:val="36"/>
      <w:szCs w:val="28"/>
      <w:lang w:eastAsia="en-AU"/>
    </w:rPr>
  </w:style>
  <w:style w:type="character" w:customStyle="1" w:styleId="Heading3Char">
    <w:name w:val="Heading 3 Char"/>
    <w:aliases w:val="APSC Heading 3 Char"/>
    <w:basedOn w:val="DefaultParagraphFont"/>
    <w:link w:val="Heading3"/>
    <w:rsid w:val="004E3FEC"/>
    <w:rPr>
      <w:rFonts w:ascii="Calibri" w:eastAsia="Batang" w:hAnsi="Calibri" w:cs="Arial"/>
      <w:b/>
      <w:bCs/>
      <w:sz w:val="24"/>
      <w:szCs w:val="32"/>
      <w:lang w:eastAsia="en-AU"/>
    </w:rPr>
  </w:style>
  <w:style w:type="character" w:customStyle="1" w:styleId="Heading4Char">
    <w:name w:val="Heading 4 Char"/>
    <w:aliases w:val="APSC Heading 4 Char"/>
    <w:basedOn w:val="DefaultParagraphFont"/>
    <w:link w:val="Heading4"/>
    <w:rsid w:val="009E386E"/>
    <w:rPr>
      <w:rFonts w:ascii="Calibri" w:eastAsia="Batang" w:hAnsi="Calibri" w:cs="Arial"/>
      <w:b/>
      <w:bCs/>
      <w:sz w:val="24"/>
      <w:szCs w:val="32"/>
      <w:lang w:eastAsia="en-AU"/>
    </w:rPr>
  </w:style>
  <w:style w:type="character" w:customStyle="1" w:styleId="Heading5Char">
    <w:name w:val="Heading 5 Char"/>
    <w:aliases w:val="APSC Heading 5 Char"/>
    <w:basedOn w:val="DefaultParagraphFont"/>
    <w:link w:val="Heading5"/>
    <w:rsid w:val="009E386E"/>
    <w:rPr>
      <w:rFonts w:ascii="Calibri" w:eastAsia="Batang" w:hAnsi="Calibri" w:cs="Arial"/>
      <w:bCs/>
      <w:i/>
      <w:sz w:val="24"/>
      <w:szCs w:val="32"/>
      <w:lang w:eastAsia="en-AU"/>
    </w:rPr>
  </w:style>
  <w:style w:type="paragraph" w:styleId="BodyText">
    <w:name w:val="Body Text"/>
    <w:aliases w:val="APSC Body text"/>
    <w:next w:val="Normal"/>
    <w:link w:val="BodyTextChar"/>
    <w:rsid w:val="006D7736"/>
    <w:pPr>
      <w:spacing w:after="120" w:line="300" w:lineRule="auto"/>
    </w:pPr>
    <w:rPr>
      <w:rFonts w:ascii="Calibri" w:hAnsi="Calibri" w:cs="Calibri"/>
      <w:lang w:eastAsia="en-AU"/>
    </w:rPr>
  </w:style>
  <w:style w:type="character" w:customStyle="1" w:styleId="BodyTextChar">
    <w:name w:val="Body Text Char"/>
    <w:aliases w:val="APSC Body text Char"/>
    <w:basedOn w:val="DefaultParagraphFont"/>
    <w:link w:val="BodyText"/>
    <w:rsid w:val="006D7736"/>
    <w:rPr>
      <w:rFonts w:ascii="Calibri" w:hAnsi="Calibri" w:cs="Calibri"/>
      <w:lang w:eastAsia="en-AU"/>
    </w:rPr>
  </w:style>
  <w:style w:type="paragraph" w:customStyle="1" w:styleId="APSCBlocktext">
    <w:name w:val="APSC Block text"/>
    <w:basedOn w:val="Normal"/>
    <w:qFormat/>
    <w:rsid w:val="009E386E"/>
    <w:pPr>
      <w:spacing w:before="60" w:after="180"/>
      <w:ind w:left="454" w:right="454"/>
      <w:jc w:val="both"/>
    </w:pPr>
    <w:rPr>
      <w:rFonts w:eastAsiaTheme="minorEastAsia" w:cstheme="minorBidi"/>
      <w:iCs/>
      <w:sz w:val="20"/>
    </w:rPr>
  </w:style>
  <w:style w:type="table" w:styleId="TableGrid">
    <w:name w:val="Table Grid"/>
    <w:basedOn w:val="TableNormal"/>
    <w:rsid w:val="009E386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APSC Footnote Reference"/>
    <w:basedOn w:val="DefaultParagraphFont"/>
    <w:uiPriority w:val="99"/>
    <w:rsid w:val="009E386E"/>
    <w:rPr>
      <w:rFonts w:ascii="Calibri" w:hAnsi="Calibri"/>
      <w:vertAlign w:val="superscript"/>
    </w:rPr>
  </w:style>
  <w:style w:type="paragraph" w:customStyle="1" w:styleId="APSCtabletextcentred">
    <w:name w:val="APSC table text centred"/>
    <w:basedOn w:val="Normal"/>
    <w:link w:val="APSCtabletextcentredChar"/>
    <w:rsid w:val="009E386E"/>
    <w:pPr>
      <w:spacing w:before="60" w:after="60"/>
      <w:jc w:val="center"/>
    </w:pPr>
    <w:rPr>
      <w:rFonts w:cs="Arial"/>
      <w:sz w:val="20"/>
      <w:szCs w:val="18"/>
    </w:rPr>
  </w:style>
  <w:style w:type="paragraph" w:customStyle="1" w:styleId="APSCBoxedtext">
    <w:name w:val="APSC Boxed text"/>
    <w:qFormat/>
    <w:rsid w:val="009E386E"/>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jc w:val="both"/>
    </w:pPr>
    <w:rPr>
      <w:rFonts w:ascii="Calibri" w:hAnsi="Calibri" w:cs="Tahoma"/>
      <w:sz w:val="20"/>
      <w:szCs w:val="16"/>
      <w:lang w:eastAsia="en-AU"/>
    </w:rPr>
  </w:style>
  <w:style w:type="paragraph" w:customStyle="1" w:styleId="APSCTableordiagramheading">
    <w:name w:val="APSC Table or diagram heading"/>
    <w:qFormat/>
    <w:rsid w:val="009E386E"/>
    <w:pPr>
      <w:spacing w:before="360" w:after="120" w:line="240" w:lineRule="auto"/>
    </w:pPr>
    <w:rPr>
      <w:rFonts w:ascii="Calibri" w:eastAsia="Batang" w:hAnsi="Calibri" w:cs="Arial"/>
      <w:b/>
      <w:bCs/>
      <w:szCs w:val="32"/>
      <w:lang w:eastAsia="en-AU"/>
    </w:rPr>
  </w:style>
  <w:style w:type="paragraph" w:styleId="FootnoteText">
    <w:name w:val="footnote text"/>
    <w:aliases w:val="APSC Footnotes"/>
    <w:link w:val="FootnoteTextChar"/>
    <w:uiPriority w:val="99"/>
    <w:rsid w:val="009E386E"/>
    <w:pPr>
      <w:spacing w:after="0" w:line="240" w:lineRule="auto"/>
    </w:pPr>
    <w:rPr>
      <w:rFonts w:ascii="Calibri" w:hAnsi="Calibri" w:cs="Calibri"/>
      <w:sz w:val="18"/>
      <w:szCs w:val="20"/>
      <w:lang w:eastAsia="en-AU"/>
    </w:rPr>
  </w:style>
  <w:style w:type="character" w:customStyle="1" w:styleId="FootnoteTextChar">
    <w:name w:val="Footnote Text Char"/>
    <w:aliases w:val="APSC Footnotes Char"/>
    <w:basedOn w:val="DefaultParagraphFont"/>
    <w:link w:val="FootnoteText"/>
    <w:uiPriority w:val="99"/>
    <w:rsid w:val="009E386E"/>
    <w:rPr>
      <w:rFonts w:ascii="Calibri" w:hAnsi="Calibri" w:cs="Calibri"/>
      <w:sz w:val="18"/>
      <w:szCs w:val="20"/>
      <w:lang w:eastAsia="en-AU"/>
    </w:rPr>
  </w:style>
  <w:style w:type="paragraph" w:customStyle="1" w:styleId="APSCphotocaption">
    <w:name w:val="APSC photo caption"/>
    <w:rsid w:val="009E386E"/>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9E386E"/>
    <w:pPr>
      <w:spacing w:line="240" w:lineRule="auto"/>
    </w:pPr>
    <w:rPr>
      <w:b/>
    </w:rPr>
  </w:style>
  <w:style w:type="paragraph" w:customStyle="1" w:styleId="APSCItalicisedtext">
    <w:name w:val="APSC Italicised text"/>
    <w:basedOn w:val="Normal"/>
    <w:link w:val="APSCItalicisedtextChar"/>
    <w:rsid w:val="009E386E"/>
    <w:rPr>
      <w:i/>
    </w:rPr>
  </w:style>
  <w:style w:type="character" w:customStyle="1" w:styleId="APSCItalicisedtextChar">
    <w:name w:val="APSC Italicised text Char"/>
    <w:basedOn w:val="DefaultParagraphFont"/>
    <w:link w:val="APSCItalicisedtext"/>
    <w:rsid w:val="009E386E"/>
    <w:rPr>
      <w:rFonts w:ascii="Calibri" w:hAnsi="Calibri" w:cs="Calibri"/>
      <w:i/>
      <w:lang w:eastAsia="en-AU"/>
    </w:rPr>
  </w:style>
  <w:style w:type="paragraph" w:customStyle="1" w:styleId="APSCBulletedtextlevel3">
    <w:name w:val="APSC Bulleted text (level 3)"/>
    <w:basedOn w:val="Normal"/>
    <w:rsid w:val="009E386E"/>
    <w:pPr>
      <w:numPr>
        <w:numId w:val="1"/>
      </w:numPr>
      <w:ind w:left="681" w:hanging="227"/>
    </w:pPr>
  </w:style>
  <w:style w:type="paragraph" w:customStyle="1" w:styleId="APSCBulletedtext">
    <w:name w:val="APSC Bulleted text"/>
    <w:basedOn w:val="Normal"/>
    <w:qFormat/>
    <w:rsid w:val="009E386E"/>
    <w:pPr>
      <w:numPr>
        <w:numId w:val="2"/>
      </w:numPr>
      <w:spacing w:after="60"/>
      <w:ind w:left="227" w:hanging="227"/>
    </w:pPr>
  </w:style>
  <w:style w:type="paragraph" w:customStyle="1" w:styleId="APSCBulletedtextlevel2">
    <w:name w:val="APSC Bulleted text ( level 2)"/>
    <w:basedOn w:val="Normal"/>
    <w:qFormat/>
    <w:rsid w:val="009E386E"/>
    <w:pPr>
      <w:numPr>
        <w:numId w:val="3"/>
      </w:numPr>
      <w:spacing w:after="60"/>
      <w:ind w:left="454" w:hanging="227"/>
    </w:pPr>
  </w:style>
  <w:style w:type="paragraph" w:styleId="Title">
    <w:name w:val="Title"/>
    <w:aliases w:val="APSC Title,Title H1"/>
    <w:basedOn w:val="Heading1"/>
    <w:next w:val="Normal"/>
    <w:link w:val="TitleChar"/>
    <w:uiPriority w:val="10"/>
    <w:qFormat/>
    <w:rsid w:val="00D53A7D"/>
    <w:pPr>
      <w:spacing w:before="0"/>
    </w:pPr>
    <w:rPr>
      <w:rFonts w:ascii="Arial Black" w:hAnsi="Arial Black"/>
      <w:color w:val="FFFFFF" w:themeColor="background1"/>
      <w:sz w:val="28"/>
      <w:szCs w:val="28"/>
    </w:rPr>
  </w:style>
  <w:style w:type="character" w:customStyle="1" w:styleId="TitleChar">
    <w:name w:val="Title Char"/>
    <w:aliases w:val="APSC Title Char,Title H1 Char"/>
    <w:basedOn w:val="DefaultParagraphFont"/>
    <w:link w:val="Title"/>
    <w:uiPriority w:val="10"/>
    <w:rsid w:val="00D53A7D"/>
    <w:rPr>
      <w:rFonts w:ascii="Arial Black" w:eastAsia="Batang" w:hAnsi="Arial Black" w:cs="Arial"/>
      <w:b/>
      <w:bCs/>
      <w:color w:val="FFFFFF" w:themeColor="background1"/>
      <w:sz w:val="28"/>
      <w:szCs w:val="28"/>
      <w:lang w:eastAsia="en-AU"/>
    </w:rPr>
  </w:style>
  <w:style w:type="paragraph" w:styleId="Subtitle">
    <w:name w:val="Subtitle"/>
    <w:aliases w:val="APSC Subtitle"/>
    <w:basedOn w:val="Title"/>
    <w:next w:val="Normal"/>
    <w:link w:val="SubtitleChar"/>
    <w:uiPriority w:val="11"/>
    <w:qFormat/>
    <w:rsid w:val="00D53A7D"/>
    <w:pPr>
      <w:spacing w:after="0"/>
      <w:contextualSpacing/>
    </w:pPr>
    <w:rPr>
      <w:sz w:val="24"/>
    </w:rPr>
  </w:style>
  <w:style w:type="character" w:customStyle="1" w:styleId="SubtitleChar">
    <w:name w:val="Subtitle Char"/>
    <w:aliases w:val="APSC Subtitle Char"/>
    <w:basedOn w:val="DefaultParagraphFont"/>
    <w:link w:val="Subtitle"/>
    <w:uiPriority w:val="11"/>
    <w:rsid w:val="00D53A7D"/>
    <w:rPr>
      <w:rFonts w:ascii="Arial Black" w:eastAsia="Batang" w:hAnsi="Arial Black" w:cs="Arial"/>
      <w:b/>
      <w:bCs/>
      <w:color w:val="FFFFFF" w:themeColor="background1"/>
      <w:sz w:val="24"/>
      <w:szCs w:val="32"/>
      <w:lang w:eastAsia="en-AU"/>
    </w:rPr>
  </w:style>
  <w:style w:type="paragraph" w:customStyle="1" w:styleId="APSCBodyoftext">
    <w:name w:val="APSC Body of text"/>
    <w:basedOn w:val="BodyText"/>
    <w:link w:val="APSCBodyoftextChar"/>
    <w:qFormat/>
    <w:rsid w:val="006D7736"/>
  </w:style>
  <w:style w:type="paragraph" w:customStyle="1" w:styleId="APSCPagenumbercentered">
    <w:name w:val="APSC Page number (centered)"/>
    <w:basedOn w:val="Footer"/>
    <w:link w:val="APSCPagenumbercenteredChar"/>
    <w:qFormat/>
    <w:rsid w:val="006D7736"/>
    <w:pPr>
      <w:tabs>
        <w:tab w:val="clear" w:pos="4513"/>
        <w:tab w:val="clear" w:pos="9026"/>
        <w:tab w:val="center" w:pos="5102"/>
      </w:tabs>
    </w:pPr>
  </w:style>
  <w:style w:type="character" w:customStyle="1" w:styleId="APSCBodyoftextChar">
    <w:name w:val="APSC Body of text Char"/>
    <w:basedOn w:val="BodyTextChar"/>
    <w:link w:val="APSCBodyoftext"/>
    <w:rsid w:val="006D7736"/>
    <w:rPr>
      <w:rFonts w:ascii="Calibri" w:hAnsi="Calibri" w:cs="Calibri"/>
      <w:lang w:eastAsia="en-AU"/>
    </w:rPr>
  </w:style>
  <w:style w:type="character" w:customStyle="1" w:styleId="Heading6Char">
    <w:name w:val="Heading 6 Char"/>
    <w:aliases w:val="APSC Heading 6 Char"/>
    <w:basedOn w:val="DefaultParagraphFont"/>
    <w:link w:val="Heading6"/>
    <w:uiPriority w:val="9"/>
    <w:rsid w:val="009976D0"/>
    <w:rPr>
      <w:rFonts w:ascii="Calibri" w:eastAsia="Batang" w:hAnsi="Calibri" w:cs="Arial"/>
      <w:bCs/>
      <w:i/>
      <w:szCs w:val="32"/>
      <w:lang w:eastAsia="en-AU"/>
    </w:rPr>
  </w:style>
  <w:style w:type="character" w:customStyle="1" w:styleId="APSCPagenumbercenteredChar">
    <w:name w:val="APSC Page number (centered) Char"/>
    <w:basedOn w:val="FooterChar"/>
    <w:link w:val="APSCPagenumbercentered"/>
    <w:rsid w:val="006D7736"/>
    <w:rPr>
      <w:rFonts w:ascii="Calibri" w:hAnsi="Calibri" w:cs="Calibri"/>
      <w:lang w:eastAsia="en-AU"/>
    </w:rPr>
  </w:style>
  <w:style w:type="paragraph" w:customStyle="1" w:styleId="APSCtable">
    <w:name w:val="APSC table"/>
    <w:basedOn w:val="APSCtablecolumnheadingscentred"/>
    <w:link w:val="APSCtableChar"/>
    <w:rsid w:val="007240F9"/>
    <w:rPr>
      <w:rFonts w:eastAsia="Times New Roman"/>
    </w:rPr>
  </w:style>
  <w:style w:type="character" w:customStyle="1" w:styleId="APSCtabletextcentredChar">
    <w:name w:val="APSC table text centred Char"/>
    <w:basedOn w:val="DefaultParagraphFont"/>
    <w:link w:val="APSCtabletextcentred"/>
    <w:rsid w:val="007240F9"/>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7240F9"/>
    <w:rPr>
      <w:rFonts w:ascii="Calibri" w:hAnsi="Calibri" w:cs="Arial"/>
      <w:b/>
      <w:sz w:val="20"/>
      <w:szCs w:val="18"/>
      <w:lang w:eastAsia="en-AU"/>
    </w:rPr>
  </w:style>
  <w:style w:type="character" w:customStyle="1" w:styleId="APSCtableChar">
    <w:name w:val="APSC table Char"/>
    <w:basedOn w:val="APSCtablecolumnheadingscentredChar"/>
    <w:link w:val="APSCtable"/>
    <w:rsid w:val="007240F9"/>
    <w:rPr>
      <w:rFonts w:ascii="Calibri" w:eastAsia="Times New Roman" w:hAnsi="Calibri" w:cs="Arial"/>
      <w:b/>
      <w:sz w:val="20"/>
      <w:szCs w:val="18"/>
      <w:lang w:eastAsia="en-AU"/>
    </w:rPr>
  </w:style>
  <w:style w:type="character" w:styleId="PlaceholderText">
    <w:name w:val="Placeholder Text"/>
    <w:basedOn w:val="DefaultParagraphFont"/>
    <w:uiPriority w:val="99"/>
    <w:semiHidden/>
    <w:locked/>
    <w:rsid w:val="0078515D"/>
    <w:rPr>
      <w:color w:val="808080"/>
    </w:rPr>
  </w:style>
  <w:style w:type="paragraph" w:styleId="ListParagraph">
    <w:name w:val="List Paragraph"/>
    <w:aliases w:val="List Bullet Cab,CAB - List Bullet"/>
    <w:basedOn w:val="Normal"/>
    <w:uiPriority w:val="34"/>
    <w:qFormat/>
    <w:locked/>
    <w:rsid w:val="00B7521A"/>
    <w:pPr>
      <w:spacing w:after="200" w:line="276" w:lineRule="auto"/>
      <w:ind w:left="720"/>
      <w:contextualSpacing/>
    </w:pPr>
    <w:rPr>
      <w:rFonts w:asciiTheme="minorHAnsi" w:hAnsiTheme="minorHAnsi" w:cstheme="minorBidi"/>
      <w:lang w:eastAsia="en-US"/>
    </w:rPr>
  </w:style>
  <w:style w:type="table" w:customStyle="1" w:styleId="TableGrid1">
    <w:name w:val="Table Grid1"/>
    <w:basedOn w:val="TableNormal"/>
    <w:next w:val="TableGrid"/>
    <w:uiPriority w:val="59"/>
    <w:rsid w:val="00B7521A"/>
    <w:pPr>
      <w:spacing w:after="0" w:line="240" w:lineRule="auto"/>
      <w:ind w:firstLine="360"/>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locked/>
    <w:rsid w:val="002D507A"/>
  </w:style>
  <w:style w:type="character" w:styleId="CommentReference">
    <w:name w:val="annotation reference"/>
    <w:basedOn w:val="DefaultParagraphFont"/>
    <w:uiPriority w:val="99"/>
    <w:semiHidden/>
    <w:unhideWhenUsed/>
    <w:locked/>
    <w:rsid w:val="00C11EBB"/>
    <w:rPr>
      <w:sz w:val="16"/>
      <w:szCs w:val="16"/>
    </w:rPr>
  </w:style>
  <w:style w:type="paragraph" w:styleId="CommentText">
    <w:name w:val="annotation text"/>
    <w:basedOn w:val="Normal"/>
    <w:link w:val="CommentTextChar"/>
    <w:uiPriority w:val="99"/>
    <w:semiHidden/>
    <w:unhideWhenUsed/>
    <w:locked/>
    <w:rsid w:val="00C11EBB"/>
    <w:pPr>
      <w:spacing w:line="240" w:lineRule="auto"/>
    </w:pPr>
    <w:rPr>
      <w:sz w:val="20"/>
      <w:szCs w:val="20"/>
    </w:rPr>
  </w:style>
  <w:style w:type="character" w:customStyle="1" w:styleId="CommentTextChar">
    <w:name w:val="Comment Text Char"/>
    <w:basedOn w:val="DefaultParagraphFont"/>
    <w:link w:val="CommentText"/>
    <w:uiPriority w:val="99"/>
    <w:semiHidden/>
    <w:rsid w:val="00C11EBB"/>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locked/>
    <w:rsid w:val="00C11EBB"/>
    <w:rPr>
      <w:b/>
      <w:bCs/>
    </w:rPr>
  </w:style>
  <w:style w:type="character" w:customStyle="1" w:styleId="CommentSubjectChar">
    <w:name w:val="Comment Subject Char"/>
    <w:basedOn w:val="CommentTextChar"/>
    <w:link w:val="CommentSubject"/>
    <w:uiPriority w:val="99"/>
    <w:semiHidden/>
    <w:rsid w:val="00C11EBB"/>
    <w:rPr>
      <w:rFonts w:ascii="Calibri" w:hAnsi="Calibri" w:cs="Calibri"/>
      <w:b/>
      <w:bCs/>
      <w:sz w:val="20"/>
      <w:szCs w:val="20"/>
      <w:lang w:eastAsia="en-AU"/>
    </w:rPr>
  </w:style>
  <w:style w:type="paragraph" w:styleId="EndnoteText">
    <w:name w:val="endnote text"/>
    <w:basedOn w:val="Normal"/>
    <w:link w:val="EndnoteTextChar"/>
    <w:uiPriority w:val="99"/>
    <w:semiHidden/>
    <w:unhideWhenUsed/>
    <w:locked/>
    <w:rsid w:val="00724B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4BD4"/>
    <w:rPr>
      <w:rFonts w:ascii="Calibri" w:hAnsi="Calibri" w:cs="Calibri"/>
      <w:sz w:val="20"/>
      <w:szCs w:val="20"/>
      <w:lang w:eastAsia="en-AU"/>
    </w:rPr>
  </w:style>
  <w:style w:type="character" w:styleId="EndnoteReference">
    <w:name w:val="endnote reference"/>
    <w:basedOn w:val="DefaultParagraphFont"/>
    <w:uiPriority w:val="99"/>
    <w:semiHidden/>
    <w:unhideWhenUsed/>
    <w:locked/>
    <w:rsid w:val="00724BD4"/>
    <w:rPr>
      <w:vertAlign w:val="superscript"/>
    </w:rPr>
  </w:style>
  <w:style w:type="paragraph" w:customStyle="1" w:styleId="TitleSubheading">
    <w:name w:val="Title Subheading"/>
    <w:basedOn w:val="Heading2"/>
    <w:link w:val="TitleSubheadingChar"/>
    <w:autoRedefine/>
    <w:qFormat/>
    <w:rsid w:val="00882F3D"/>
    <w:pPr>
      <w:spacing w:before="600"/>
    </w:pPr>
    <w:rPr>
      <w:rFonts w:eastAsiaTheme="majorEastAsia"/>
      <w:color w:val="0070C0"/>
      <w:sz w:val="40"/>
    </w:rPr>
  </w:style>
  <w:style w:type="character" w:customStyle="1" w:styleId="TitleSubheadingChar">
    <w:name w:val="Title Subheading Char"/>
    <w:basedOn w:val="Heading2Char"/>
    <w:link w:val="TitleSubheading"/>
    <w:rsid w:val="00882F3D"/>
    <w:rPr>
      <w:rFonts w:ascii="Calibri" w:eastAsiaTheme="majorEastAsia" w:hAnsi="Calibri" w:cs="Arial"/>
      <w:b/>
      <w:bCs/>
      <w:iCs/>
      <w:color w:val="0070C0"/>
      <w:sz w:val="40"/>
      <w:szCs w:val="28"/>
      <w:lang w:eastAsia="en-AU"/>
    </w:rPr>
  </w:style>
  <w:style w:type="paragraph" w:styleId="NormalWeb">
    <w:name w:val="Normal (Web)"/>
    <w:basedOn w:val="Normal"/>
    <w:uiPriority w:val="99"/>
    <w:unhideWhenUsed/>
    <w:locked/>
    <w:rsid w:val="00882F3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locked/>
    <w:rsid w:val="00882F3D"/>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ps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ShareHubID xmlns="bdfcd05c-b52c-46d4-8d90-dc6bc74841b2">SHD21-49659</ShareHubID>
    <TaxCatchAll xmlns="bdfcd05c-b52c-46d4-8d90-dc6bc74841b2">
      <Value>2</Value>
    </TaxCatchAll>
    <mc5611b894cf49d8aeeb8ebf39dc09bc xmlns="bdfcd05c-b52c-46d4-8d90-dc6bc74841b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bdfcd05c-b52c-46d4-8d90-dc6bc74841b2">
      <Terms xmlns="http://schemas.microsoft.com/office/infopath/2007/PartnerControls"/>
    </jd1c641577414dfdab1686c9d5d0dbd0>
    <PMCNotes xmlns="bdfcd05c-b52c-46d4-8d90-dc6bc74841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D5EE46736079654C8AB77B6581D0C352" ma:contentTypeVersion="6" ma:contentTypeDescription="ShareHub Document" ma:contentTypeScope="" ma:versionID="c596b36f4217fc0750460fae0818b803">
  <xsd:schema xmlns:xsd="http://www.w3.org/2001/XMLSchema" xmlns:xs="http://www.w3.org/2001/XMLSchema" xmlns:p="http://schemas.microsoft.com/office/2006/metadata/properties" xmlns:ns1="bdfcd05c-b52c-46d4-8d90-dc6bc74841b2" xmlns:ns3="685f9fda-bd71-4433-b331-92feb9553089" targetNamespace="http://schemas.microsoft.com/office/2006/metadata/properties" ma:root="true" ma:fieldsID="bebcf3b294dd7121f972bdd6d3d0325c" ns1:_="" ns3:_="">
    <xsd:import namespace="bdfcd05c-b52c-46d4-8d90-dc6bc74841b2"/>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cd05c-b52c-46d4-8d90-dc6bc74841b2"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2;#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678b988-081b-4c13-b0b3-456babd043e8}" ma:internalName="TaxCatchAll" ma:showField="CatchAllData" ma:web="bdfcd05c-b52c-46d4-8d90-dc6bc74841b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678b988-081b-4c13-b0b3-456babd043e8}" ma:internalName="TaxCatchAllLabel" ma:readOnly="true" ma:showField="CatchAllDataLabel" ma:web="bdfcd05c-b52c-46d4-8d90-dc6bc74841b2">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0136-36A6-469D-8585-F0C6C2776ECD}">
  <ds:schemaRefs>
    <ds:schemaRef ds:uri="http://schemas.microsoft.com/office/2006/metadata/properties"/>
    <ds:schemaRef ds:uri="http://schemas.microsoft.com/office/infopath/2007/PartnerControls"/>
    <ds:schemaRef ds:uri="685f9fda-bd71-4433-b331-92feb9553089"/>
    <ds:schemaRef ds:uri="bdfcd05c-b52c-46d4-8d90-dc6bc74841b2"/>
  </ds:schemaRefs>
</ds:datastoreItem>
</file>

<file path=customXml/itemProps2.xml><?xml version="1.0" encoding="utf-8"?>
<ds:datastoreItem xmlns:ds="http://schemas.openxmlformats.org/officeDocument/2006/customXml" ds:itemID="{C2E16593-FBE5-4AA3-A095-61F0A60EB442}">
  <ds:schemaRefs>
    <ds:schemaRef ds:uri="http://schemas.microsoft.com/sharepoint/v3/contenttype/forms"/>
  </ds:schemaRefs>
</ds:datastoreItem>
</file>

<file path=customXml/itemProps3.xml><?xml version="1.0" encoding="utf-8"?>
<ds:datastoreItem xmlns:ds="http://schemas.openxmlformats.org/officeDocument/2006/customXml" ds:itemID="{76F0C638-0A9A-4AC5-B92B-AC4826BEC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cd05c-b52c-46d4-8d90-dc6bc74841b2"/>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03752-563E-498B-838D-79B7BC5F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Performance Bonus Guidance</vt:lpstr>
    </vt:vector>
  </TitlesOfParts>
  <Company>Australian Government</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Bonus Guidance</dc:title>
  <dc:creator>Australian Public Service Commission</dc:creator>
  <cp:lastModifiedBy>Pirani, Matthew</cp:lastModifiedBy>
  <cp:revision>2</cp:revision>
  <cp:lastPrinted>2021-08-12T03:31:00Z</cp:lastPrinted>
  <dcterms:created xsi:type="dcterms:W3CDTF">2021-08-12T22:22:00Z</dcterms:created>
  <dcterms:modified xsi:type="dcterms:W3CDTF">2021-08-12T22:22:00Z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0x0101002825A64A6E1845A99A9D8EE8A5686ECB00D5EE46736079654C8AB77B6581D0C352</vt:lpwstr>
  </property>
  <property fmtid="{D5CDD505-2E9C-101B-9397-08002B2CF9AE}" pid="3" name="HPRMSecurityLevel">
    <vt:lpwstr>2;#OFFICIAL|11463c70-78df-4e3b-b0ff-f66cd3cb26ec</vt:lpwstr>
  </property>
  <property fmtid="{D5CDD505-2E9C-101B-9397-08002B2CF9AE}" pid="4" name="HPRMSecurityCaveat">
    <vt:lpwstr/>
  </property>
</Properties>
</file>