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C94" w:rsidRDefault="00E60FE6">
      <w:pPr>
        <w:rPr>
          <w:rFonts w:eastAsiaTheme="majorEastAsia" w:cstheme="minorHAnsi"/>
          <w:b/>
          <w:bCs/>
        </w:rPr>
      </w:pPr>
      <w:bookmarkStart w:id="0" w:name="_GoBack"/>
      <w:r>
        <w:rPr>
          <w:rFonts w:eastAsiaTheme="majorEastAsia" w:cstheme="minorHAnsi"/>
          <w:b/>
          <w:bCs/>
          <w:noProof/>
          <w:lang w:eastAsia="en-AU"/>
        </w:rPr>
        <w:drawing>
          <wp:anchor distT="0" distB="0" distL="114300" distR="114300" simplePos="0" relativeHeight="251660288" behindDoc="0" locked="0" layoutInCell="1" allowOverlap="1">
            <wp:simplePos x="0" y="0"/>
            <wp:positionH relativeFrom="page">
              <wp:posOffset>616</wp:posOffset>
            </wp:positionH>
            <wp:positionV relativeFrom="page">
              <wp:posOffset>0</wp:posOffset>
            </wp:positionV>
            <wp:extent cx="7558768" cy="10692000"/>
            <wp:effectExtent l="0" t="0" r="4445" b="0"/>
            <wp:wrapNone/>
            <wp:docPr id="9" name="Picture 9" title="Cover: Manager guide to identifying pot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71 Talent management cover Manager guid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bookmarkEnd w:id="0"/>
      <w:r w:rsidR="00CE2C94">
        <w:rPr>
          <w:rFonts w:eastAsiaTheme="majorEastAsia" w:cstheme="minorHAnsi"/>
          <w:b/>
          <w:bCs/>
        </w:rPr>
        <w:br w:type="page"/>
      </w:r>
    </w:p>
    <w:p w:rsidR="00CE2C94" w:rsidRDefault="00CE2C94">
      <w:pPr>
        <w:rPr>
          <w:rFonts w:eastAsiaTheme="majorEastAsia" w:cstheme="minorHAnsi"/>
          <w:b/>
          <w:bCs/>
        </w:rPr>
      </w:pPr>
    </w:p>
    <w:p w:rsidR="00CE2C94" w:rsidRDefault="00CE2C94">
      <w:pPr>
        <w:rPr>
          <w:rFonts w:eastAsiaTheme="majorEastAsia" w:cstheme="minorHAnsi"/>
          <w:b/>
          <w:bCs/>
        </w:rPr>
      </w:pPr>
    </w:p>
    <w:p w:rsidR="00CE2C94" w:rsidRPr="00254ED2" w:rsidRDefault="00CE2C94" w:rsidP="00CE2C94">
      <w:pPr>
        <w:pStyle w:val="NormalWeb"/>
        <w:shd w:val="clear" w:color="auto" w:fill="FFFFFF"/>
        <w:rPr>
          <w:rFonts w:asciiTheme="minorHAnsi" w:hAnsiTheme="minorHAnsi" w:cstheme="minorHAnsi"/>
          <w:b/>
          <w:bCs/>
          <w:sz w:val="22"/>
          <w:szCs w:val="22"/>
          <w:lang w:val="en-US"/>
        </w:rPr>
      </w:pPr>
      <w:r w:rsidRPr="00254ED2">
        <w:rPr>
          <w:rFonts w:asciiTheme="minorHAnsi" w:hAnsiTheme="minorHAnsi" w:cstheme="minorHAnsi"/>
          <w:b/>
          <w:bCs/>
          <w:sz w:val="22"/>
          <w:szCs w:val="22"/>
          <w:lang w:val="en-US"/>
        </w:rPr>
        <w:t xml:space="preserve">© Commonwealth of Australia </w:t>
      </w:r>
      <w:r>
        <w:rPr>
          <w:rFonts w:asciiTheme="minorHAnsi" w:hAnsiTheme="minorHAnsi" w:cstheme="minorHAnsi"/>
          <w:b/>
          <w:bCs/>
          <w:sz w:val="22"/>
          <w:szCs w:val="22"/>
          <w:lang w:val="en-US"/>
        </w:rPr>
        <w:t>January 2015</w:t>
      </w:r>
    </w:p>
    <w:p w:rsidR="00CE2C94" w:rsidRDefault="00CE2C94" w:rsidP="00CE2C94">
      <w:r>
        <w:t xml:space="preserve">All material produced by the Australian Public Service Commission (the Commission), constitutes Commonwealth copyright administered by the Commission. The Commission reserves the right to set out the terms and conditions for the use of such material. </w:t>
      </w:r>
    </w:p>
    <w:p w:rsidR="00CE2C94" w:rsidRDefault="00CE2C94" w:rsidP="00CE2C94">
      <w:r>
        <w:t>Apart from any use permitted under the Copyright Act 1968, and those explicitly granted herein, all other rights are reserved.</w:t>
      </w:r>
    </w:p>
    <w:p w:rsidR="00CE2C94" w:rsidRPr="00E942B3" w:rsidRDefault="00CE2C94" w:rsidP="00CE2C94">
      <w:r w:rsidRPr="00E942B3">
        <w:t>Unless otherwise noted, all material in this publication, except the Commission logo or badge, the Commonwealth Coat of Arms, and any material protected by a trademark is licensed under the Creative Commons BY NC ND Attribution Non-Commercial Use No Derivatives 4.0 Australia Licence.</w:t>
      </w:r>
      <w:r>
        <w:t xml:space="preserve"> </w:t>
      </w:r>
    </w:p>
    <w:p w:rsidR="00CE2C94" w:rsidRDefault="00CE2C94" w:rsidP="00CE2C94">
      <w:r>
        <w:rPr>
          <w:noProof/>
          <w:lang w:eastAsia="en-AU"/>
        </w:rPr>
        <w:drawing>
          <wp:inline distT="0" distB="0" distL="0" distR="0" wp14:anchorId="01241344" wp14:editId="6003D5BE">
            <wp:extent cx="835660" cy="292735"/>
            <wp:effectExtent l="0" t="0" r="2540" b="0"/>
            <wp:docPr id="8" name="Picture 8" descr="Creative Commons BY NC ND Attribution Non-Commercial Use No Derivatives 4.0 Australia Licence" title="Creative Commons logo"/>
            <wp:cNvGraphicFramePr/>
            <a:graphic xmlns:a="http://schemas.openxmlformats.org/drawingml/2006/main">
              <a:graphicData uri="http://schemas.openxmlformats.org/drawingml/2006/picture">
                <pic:pic xmlns:pic="http://schemas.openxmlformats.org/drawingml/2006/picture">
                  <pic:nvPicPr>
                    <pic:cNvPr id="2" name="Picture 2" descr="J:\Desktop\cc.bmp"/>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5660" cy="292735"/>
                    </a:xfrm>
                    <a:prstGeom prst="rect">
                      <a:avLst/>
                    </a:prstGeom>
                    <a:noFill/>
                    <a:ln>
                      <a:noFill/>
                    </a:ln>
                  </pic:spPr>
                </pic:pic>
              </a:graphicData>
            </a:graphic>
          </wp:inline>
        </w:drawing>
      </w:r>
    </w:p>
    <w:p w:rsidR="00CE2C94" w:rsidRDefault="00CE2C94" w:rsidP="00CE2C94">
      <w:r>
        <w:t>Details of this licence are available at: &lt;</w:t>
      </w:r>
      <w:hyperlink r:id="rId11" w:history="1">
        <w:r w:rsidRPr="009371C6">
          <w:rPr>
            <w:rStyle w:val="Hyperlink"/>
          </w:rPr>
          <w:t>http://creativecommons.org/licenses/by-nc-nd/4.0/legalcode</w:t>
        </w:r>
      </w:hyperlink>
      <w:r>
        <w:rPr>
          <w:rStyle w:val="Hyperlink"/>
        </w:rPr>
        <w:t>&gt;</w:t>
      </w:r>
    </w:p>
    <w:p w:rsidR="00CE2C94" w:rsidRPr="00E942B3" w:rsidRDefault="00CE2C94" w:rsidP="00CE2C94">
      <w:pPr>
        <w:rPr>
          <w:b/>
        </w:rPr>
      </w:pPr>
      <w:r>
        <w:rPr>
          <w:b/>
        </w:rPr>
        <w:t>Attributing Commission works</w:t>
      </w:r>
    </w:p>
    <w:p w:rsidR="00CE2C94" w:rsidRDefault="00CE2C94" w:rsidP="00CE2C94">
      <w:r>
        <w:t>Use of Commonwealth material licensed under the Creative Commons 4.0 BY NC ND requires the following:</w:t>
      </w:r>
    </w:p>
    <w:p w:rsidR="00CE2C94" w:rsidRDefault="00CE2C94" w:rsidP="00CE2C94">
      <w:pPr>
        <w:pStyle w:val="ListParagraph"/>
        <w:numPr>
          <w:ilvl w:val="0"/>
          <w:numId w:val="37"/>
        </w:numPr>
        <w:ind w:left="714" w:hanging="357"/>
        <w:contextualSpacing w:val="0"/>
      </w:pPr>
      <w:r>
        <w:t xml:space="preserve">Attribution:  You must give appropriate credit, provide a link to the license, and indicate if changes were made. You may do so in any reasonable manner, but not in any way that suggests the licensor endorses you or your use. </w:t>
      </w:r>
    </w:p>
    <w:p w:rsidR="00CE2C94" w:rsidRDefault="00CE2C94" w:rsidP="00CE2C94">
      <w:pPr>
        <w:pStyle w:val="ListParagraph"/>
        <w:numPr>
          <w:ilvl w:val="0"/>
          <w:numId w:val="37"/>
        </w:numPr>
        <w:ind w:left="714" w:hanging="357"/>
        <w:contextualSpacing w:val="0"/>
      </w:pPr>
      <w:r>
        <w:t xml:space="preserve">Non Commercial:  You may not use the material for commercial purposes. </w:t>
      </w:r>
    </w:p>
    <w:p w:rsidR="00CE2C94" w:rsidRDefault="00CE2C94" w:rsidP="00CE2C94">
      <w:pPr>
        <w:pStyle w:val="ListParagraph"/>
        <w:numPr>
          <w:ilvl w:val="0"/>
          <w:numId w:val="37"/>
        </w:numPr>
        <w:ind w:left="714" w:hanging="357"/>
        <w:contextualSpacing w:val="0"/>
      </w:pPr>
      <w:proofErr w:type="gramStart"/>
      <w:r>
        <w:t>No Derivatives:  If you remix, transform, or build upon the material, you may not distribute the modified material.</w:t>
      </w:r>
      <w:proofErr w:type="gramEnd"/>
    </w:p>
    <w:p w:rsidR="00CE2C94" w:rsidRPr="00E942B3" w:rsidRDefault="00CE2C94" w:rsidP="00CE2C94">
      <w:pPr>
        <w:rPr>
          <w:b/>
        </w:rPr>
      </w:pPr>
      <w:r w:rsidRPr="00167EA7">
        <w:rPr>
          <w:b/>
        </w:rPr>
        <w:t>Enquiries</w:t>
      </w:r>
      <w:r>
        <w:rPr>
          <w:b/>
        </w:rPr>
        <w:br/>
      </w:r>
      <w:r>
        <w:t>For enquiries concerning reproduction and rights in Commission products and services, please contact &lt;</w:t>
      </w:r>
      <w:hyperlink r:id="rId12" w:history="1">
        <w:r w:rsidRPr="009371C6">
          <w:rPr>
            <w:rStyle w:val="Hyperlink"/>
          </w:rPr>
          <w:t>communications@apsc.gov.au</w:t>
        </w:r>
      </w:hyperlink>
      <w:r>
        <w:rPr>
          <w:rStyle w:val="Hyperlink"/>
        </w:rPr>
        <w:t>&gt;</w:t>
      </w:r>
    </w:p>
    <w:p w:rsidR="00CE2C94" w:rsidRDefault="00CE2C94">
      <w:pPr>
        <w:rPr>
          <w:rFonts w:eastAsiaTheme="majorEastAsia" w:cstheme="minorHAnsi"/>
          <w:b/>
          <w:bCs/>
        </w:rPr>
      </w:pPr>
    </w:p>
    <w:p w:rsidR="00CE2C94" w:rsidRDefault="00CE2C94">
      <w:pPr>
        <w:rPr>
          <w:rFonts w:eastAsiaTheme="majorEastAsia" w:cstheme="minorHAnsi"/>
          <w:b/>
          <w:bCs/>
        </w:rPr>
      </w:pPr>
      <w:r>
        <w:rPr>
          <w:rFonts w:eastAsiaTheme="majorEastAsia" w:cstheme="minorHAnsi"/>
          <w:b/>
          <w:bCs/>
        </w:rPr>
        <w:br w:type="page"/>
      </w:r>
    </w:p>
    <w:p w:rsidR="00CE2C94" w:rsidRDefault="00CE2C94" w:rsidP="00CE2C94">
      <w:pPr>
        <w:tabs>
          <w:tab w:val="left" w:pos="2145"/>
        </w:tabs>
        <w:spacing w:after="0" w:line="240" w:lineRule="auto"/>
        <w:rPr>
          <w:rFonts w:eastAsiaTheme="majorEastAsia" w:cstheme="minorHAnsi"/>
          <w:b/>
          <w:bCs/>
        </w:rPr>
        <w:sectPr w:rsidR="00CE2C94" w:rsidSect="00CE2C94">
          <w:pgSz w:w="11906" w:h="16838"/>
          <w:pgMar w:top="1440" w:right="1440" w:bottom="1440" w:left="1440" w:header="708" w:footer="708" w:gutter="0"/>
          <w:cols w:space="708"/>
          <w:docGrid w:linePitch="360"/>
        </w:sectPr>
      </w:pPr>
    </w:p>
    <w:p w:rsidR="00CE2C94" w:rsidRDefault="00CE2C94" w:rsidP="00C2150B">
      <w:pPr>
        <w:tabs>
          <w:tab w:val="left" w:pos="2145"/>
        </w:tabs>
        <w:spacing w:after="0" w:line="240" w:lineRule="auto"/>
        <w:ind w:left="426"/>
        <w:rPr>
          <w:rFonts w:eastAsiaTheme="majorEastAsia" w:cstheme="minorHAnsi"/>
          <w:b/>
          <w:bCs/>
        </w:rPr>
      </w:pPr>
    </w:p>
    <w:p w:rsidR="00381446" w:rsidRDefault="00C2150B" w:rsidP="00C2150B">
      <w:pPr>
        <w:tabs>
          <w:tab w:val="left" w:pos="2145"/>
        </w:tabs>
        <w:spacing w:after="0" w:line="240" w:lineRule="auto"/>
        <w:ind w:left="426"/>
        <w:rPr>
          <w:rFonts w:eastAsiaTheme="majorEastAsia" w:cstheme="minorHAnsi"/>
          <w:b/>
          <w:bCs/>
        </w:rPr>
      </w:pPr>
      <w:r w:rsidRPr="00381446">
        <w:rPr>
          <w:rFonts w:eastAsiaTheme="majorEastAsia" w:cstheme="minorHAnsi"/>
          <w:b/>
          <w:bCs/>
        </w:rPr>
        <w:t xml:space="preserve">Making an initial assessment </w:t>
      </w:r>
    </w:p>
    <w:p w:rsidR="00C2150B" w:rsidRPr="00381446" w:rsidRDefault="00C2150B" w:rsidP="00C2150B">
      <w:pPr>
        <w:tabs>
          <w:tab w:val="left" w:pos="2145"/>
        </w:tabs>
        <w:spacing w:after="0" w:line="240" w:lineRule="auto"/>
        <w:ind w:left="426"/>
        <w:rPr>
          <w:rFonts w:eastAsiaTheme="majorEastAsia" w:cstheme="minorHAnsi"/>
          <w:b/>
          <w:bCs/>
        </w:rPr>
      </w:pPr>
      <w:r w:rsidRPr="00381446">
        <w:rPr>
          <w:rFonts w:eastAsiaTheme="majorEastAsia" w:cstheme="minorHAnsi"/>
          <w:b/>
          <w:bCs/>
        </w:rPr>
        <w:tab/>
      </w:r>
    </w:p>
    <w:p w:rsidR="00C2150B" w:rsidRPr="00C2150B" w:rsidRDefault="00C2150B" w:rsidP="00C2150B">
      <w:pPr>
        <w:ind w:left="426"/>
        <w:contextualSpacing/>
        <w:rPr>
          <w:rFonts w:ascii="Calibri" w:eastAsia="Calibri" w:hAnsi="Calibri" w:cs="Times New Roman"/>
          <w:b/>
          <w:color w:val="0070C0"/>
        </w:rPr>
      </w:pPr>
      <w:r w:rsidRPr="00C2150B">
        <w:rPr>
          <w:rFonts w:ascii="Calibri" w:eastAsia="Calibri" w:hAnsi="Calibri" w:cs="Times New Roman"/>
        </w:rPr>
        <w:t xml:space="preserve">An initial assessment of an individual’s potential can be made through observation against the qualities, indicators and behaviours set out in </w:t>
      </w:r>
      <w:r w:rsidR="00497AB5">
        <w:rPr>
          <w:rFonts w:ascii="Calibri" w:eastAsia="Calibri" w:hAnsi="Calibri" w:cs="Times New Roman"/>
        </w:rPr>
        <w:t>the</w:t>
      </w:r>
      <w:r>
        <w:rPr>
          <w:rFonts w:ascii="Calibri" w:eastAsia="Calibri" w:hAnsi="Calibri" w:cs="Times New Roman"/>
        </w:rPr>
        <w:t xml:space="preserve"> </w:t>
      </w:r>
      <w:hyperlink r:id="rId13" w:history="1">
        <w:r w:rsidRPr="00FC4286">
          <w:rPr>
            <w:rStyle w:val="Hyperlink"/>
            <w:rFonts w:ascii="Calibri" w:eastAsia="Calibri" w:hAnsi="Calibri" w:cs="Times New Roman"/>
          </w:rPr>
          <w:t>A</w:t>
        </w:r>
        <w:r w:rsidR="00497AB5" w:rsidRPr="00FC4286">
          <w:rPr>
            <w:rStyle w:val="Hyperlink"/>
            <w:rFonts w:ascii="Calibri" w:eastAsia="Calibri" w:hAnsi="Calibri" w:cs="Times New Roman"/>
          </w:rPr>
          <w:t>PS Framework for High Potential</w:t>
        </w:r>
      </w:hyperlink>
      <w:r w:rsidR="00497AB5">
        <w:rPr>
          <w:rFonts w:ascii="Calibri" w:eastAsia="Calibri" w:hAnsi="Calibri" w:cs="Times New Roman"/>
          <w:b/>
          <w:color w:val="0070C0"/>
        </w:rPr>
        <w:t xml:space="preserve"> </w:t>
      </w:r>
      <w:r w:rsidR="00B42CF1">
        <w:rPr>
          <w:rFonts w:ascii="Calibri" w:eastAsia="Calibri" w:hAnsi="Calibri" w:cs="Times New Roman"/>
        </w:rPr>
        <w:t xml:space="preserve">which defines </w:t>
      </w:r>
      <w:r w:rsidR="00C91120">
        <w:rPr>
          <w:rFonts w:ascii="Calibri" w:eastAsia="Calibri" w:hAnsi="Calibri" w:cs="Times New Roman"/>
        </w:rPr>
        <w:t>potential as a combination of ability, aspiration and engagement</w:t>
      </w:r>
      <w:r w:rsidR="00B42CF1">
        <w:rPr>
          <w:rStyle w:val="FootnoteReference"/>
          <w:rFonts w:ascii="Calibri" w:eastAsia="Calibri" w:hAnsi="Calibri" w:cs="Times New Roman"/>
        </w:rPr>
        <w:footnoteReference w:id="1"/>
      </w:r>
      <w:r w:rsidR="00C91120">
        <w:rPr>
          <w:rFonts w:ascii="Calibri" w:eastAsia="Calibri" w:hAnsi="Calibri" w:cs="Times New Roman"/>
        </w:rPr>
        <w:t xml:space="preserve"> as demonstrated below </w:t>
      </w:r>
      <w:r w:rsidRPr="00C2150B">
        <w:rPr>
          <w:rFonts w:ascii="Calibri" w:eastAsia="Calibri" w:hAnsi="Calibri" w:cs="Times New Roman"/>
          <w:b/>
          <w:color w:val="0070C0"/>
        </w:rPr>
        <w:t xml:space="preserve">.  </w:t>
      </w:r>
      <w:r w:rsidRPr="00C2150B">
        <w:rPr>
          <w:rFonts w:ascii="Calibri" w:eastAsia="Calibri" w:hAnsi="Calibri" w:cs="Times New Roman"/>
        </w:rPr>
        <w:t>This kind of assessment is best made by a manager who is working closely with an individual and is able to observe their behaviours directly and engage with them about their career aspirations</w:t>
      </w:r>
      <w:r w:rsidR="00B42CF1">
        <w:rPr>
          <w:rFonts w:ascii="Calibri" w:eastAsia="Calibri" w:hAnsi="Calibri" w:cs="Times New Roman"/>
        </w:rPr>
        <w:t>.</w:t>
      </w:r>
    </w:p>
    <w:p w:rsidR="00C2150B" w:rsidRPr="00C2150B" w:rsidRDefault="00C2150B" w:rsidP="00C2150B">
      <w:pPr>
        <w:spacing w:after="0" w:line="240" w:lineRule="auto"/>
        <w:ind w:left="426"/>
        <w:rPr>
          <w:rFonts w:eastAsiaTheme="majorEastAsia" w:cstheme="minorHAnsi"/>
          <w:bCs/>
        </w:rPr>
      </w:pPr>
    </w:p>
    <w:p w:rsidR="00C2150B" w:rsidRPr="00C2150B" w:rsidRDefault="00C2150B" w:rsidP="00C2150B">
      <w:pPr>
        <w:spacing w:after="0" w:line="240" w:lineRule="auto"/>
        <w:ind w:left="426"/>
        <w:rPr>
          <w:rFonts w:eastAsiaTheme="majorEastAsia" w:cstheme="minorHAnsi"/>
          <w:bCs/>
        </w:rPr>
      </w:pPr>
      <w:r w:rsidRPr="00C2150B">
        <w:rPr>
          <w:rFonts w:eastAsiaTheme="majorEastAsia" w:cstheme="minorHAnsi"/>
          <w:bCs/>
        </w:rPr>
        <w:t>An initial manager assessment offers an efficient way to gain a better understanding of individual potential prior to investing in formal assessment.  It may also avoid putting the wrong individuals through a formal assessment process, setting expectations which may not be met.</w:t>
      </w:r>
    </w:p>
    <w:p w:rsidR="0099409B" w:rsidRDefault="0099409B" w:rsidP="000C777E">
      <w:pPr>
        <w:spacing w:after="0" w:line="240" w:lineRule="auto"/>
        <w:ind w:left="426"/>
        <w:rPr>
          <w:rFonts w:eastAsiaTheme="majorEastAsia" w:cstheme="minorHAnsi"/>
          <w:bCs/>
        </w:rPr>
      </w:pPr>
    </w:p>
    <w:p w:rsidR="000C777E" w:rsidRDefault="00CE2C94" w:rsidP="00CE2C94">
      <w:pPr>
        <w:spacing w:after="0" w:line="240" w:lineRule="auto"/>
        <w:ind w:left="426"/>
        <w:jc w:val="center"/>
        <w:rPr>
          <w:noProof/>
          <w:lang w:eastAsia="en-AU"/>
        </w:rPr>
      </w:pPr>
      <w:r>
        <w:rPr>
          <w:noProof/>
          <w:lang w:eastAsia="en-AU"/>
        </w:rPr>
        <w:drawing>
          <wp:inline distT="0" distB="0" distL="0" distR="0" wp14:anchorId="5696F7C9" wp14:editId="78ACC29E">
            <wp:extent cx="4215384" cy="3639312"/>
            <wp:effectExtent l="0" t="0" r="0" b="0"/>
            <wp:docPr id="3" name="Picture 3" descr="Diagram indicating that high potential is present when ability, aspiration and engagement combine" title="APS High Potenti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lent management Diagram 2 lighter lighter 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15384" cy="3639312"/>
                    </a:xfrm>
                    <a:prstGeom prst="rect">
                      <a:avLst/>
                    </a:prstGeom>
                  </pic:spPr>
                </pic:pic>
              </a:graphicData>
            </a:graphic>
          </wp:inline>
        </w:drawing>
      </w:r>
    </w:p>
    <w:p w:rsidR="00016FCE" w:rsidRDefault="00016FCE" w:rsidP="00BF4621">
      <w:pPr>
        <w:spacing w:after="0" w:line="240" w:lineRule="auto"/>
        <w:ind w:left="426"/>
        <w:rPr>
          <w:rFonts w:eastAsiaTheme="majorEastAsia" w:cstheme="minorHAnsi"/>
          <w:bCs/>
        </w:rPr>
      </w:pPr>
    </w:p>
    <w:p w:rsidR="00C2150B" w:rsidRDefault="00C2150B" w:rsidP="00C2150B">
      <w:pPr>
        <w:spacing w:after="0" w:line="240" w:lineRule="auto"/>
        <w:ind w:left="426"/>
        <w:rPr>
          <w:rFonts w:eastAsiaTheme="majorEastAsia" w:cstheme="minorHAnsi"/>
          <w:b/>
          <w:bCs/>
          <w:i/>
        </w:rPr>
      </w:pPr>
    </w:p>
    <w:p w:rsidR="00C2150B" w:rsidRPr="00381446" w:rsidRDefault="00C2150B" w:rsidP="00C2150B">
      <w:pPr>
        <w:spacing w:after="0" w:line="240" w:lineRule="auto"/>
        <w:ind w:left="426"/>
        <w:rPr>
          <w:rFonts w:eastAsiaTheme="majorEastAsia" w:cstheme="minorHAnsi"/>
          <w:b/>
          <w:bCs/>
        </w:rPr>
      </w:pPr>
      <w:r w:rsidRPr="00381446">
        <w:rPr>
          <w:rFonts w:eastAsiaTheme="majorEastAsia" w:cstheme="minorHAnsi"/>
          <w:b/>
          <w:bCs/>
        </w:rPr>
        <w:t>Undertaking formal assessment</w:t>
      </w:r>
    </w:p>
    <w:p w:rsidR="00381446" w:rsidRDefault="00381446" w:rsidP="00C2150B">
      <w:pPr>
        <w:spacing w:after="0" w:line="240" w:lineRule="auto"/>
        <w:ind w:left="426"/>
        <w:rPr>
          <w:rFonts w:eastAsiaTheme="majorEastAsia" w:cstheme="minorHAnsi"/>
          <w:bCs/>
        </w:rPr>
      </w:pPr>
    </w:p>
    <w:p w:rsidR="00C2150B" w:rsidRPr="00C2150B" w:rsidRDefault="00C2150B" w:rsidP="00C2150B">
      <w:pPr>
        <w:spacing w:after="0" w:line="240" w:lineRule="auto"/>
        <w:ind w:left="426"/>
        <w:rPr>
          <w:rFonts w:eastAsiaTheme="majorEastAsia" w:cstheme="minorHAnsi"/>
          <w:bCs/>
        </w:rPr>
      </w:pPr>
      <w:r w:rsidRPr="00C2150B">
        <w:rPr>
          <w:rFonts w:eastAsiaTheme="majorEastAsia" w:cstheme="minorHAnsi"/>
          <w:bCs/>
        </w:rPr>
        <w:t xml:space="preserve">Formal assessment can be valuable in confirming an initial assessment of high potential and in understanding areas for development. </w:t>
      </w:r>
    </w:p>
    <w:p w:rsidR="00C2150B" w:rsidRPr="00C2150B" w:rsidRDefault="00C2150B" w:rsidP="00C2150B">
      <w:pPr>
        <w:spacing w:after="0" w:line="240" w:lineRule="auto"/>
        <w:ind w:left="426"/>
        <w:rPr>
          <w:rFonts w:eastAsiaTheme="majorEastAsia" w:cstheme="minorHAnsi"/>
          <w:bCs/>
        </w:rPr>
      </w:pPr>
    </w:p>
    <w:p w:rsidR="00C2150B" w:rsidRDefault="00C2150B" w:rsidP="00C2150B">
      <w:pPr>
        <w:spacing w:after="0" w:line="240" w:lineRule="auto"/>
        <w:ind w:left="426"/>
        <w:rPr>
          <w:rFonts w:eastAsiaTheme="majorEastAsia" w:cstheme="minorHAnsi"/>
          <w:bCs/>
        </w:rPr>
      </w:pPr>
    </w:p>
    <w:p w:rsidR="00C91120" w:rsidRDefault="00C91120" w:rsidP="00C2150B">
      <w:pPr>
        <w:spacing w:after="0" w:line="240" w:lineRule="auto"/>
        <w:ind w:left="426"/>
        <w:rPr>
          <w:rFonts w:eastAsiaTheme="majorEastAsia" w:cstheme="minorHAnsi"/>
          <w:bCs/>
          <w:i/>
        </w:rPr>
        <w:sectPr w:rsidR="00C91120" w:rsidSect="006977C0">
          <w:headerReference w:type="default" r:id="rId15"/>
          <w:pgSz w:w="11906" w:h="16838"/>
          <w:pgMar w:top="720" w:right="720" w:bottom="720" w:left="720" w:header="708" w:footer="708" w:gutter="0"/>
          <w:cols w:space="708"/>
          <w:docGrid w:linePitch="360"/>
        </w:sectPr>
      </w:pPr>
    </w:p>
    <w:p w:rsidR="00046723" w:rsidRPr="00046723" w:rsidRDefault="00E2747E">
      <w:pPr>
        <w:rPr>
          <w:rFonts w:eastAsiaTheme="majorEastAsia" w:cstheme="minorHAnsi"/>
          <w:b/>
          <w:bCs/>
        </w:rPr>
      </w:pPr>
      <w:bookmarkStart w:id="1" w:name="_Toc419380901"/>
      <w:r w:rsidRPr="00046723">
        <w:rPr>
          <w:rFonts w:eastAsiaTheme="majorEastAsia" w:cstheme="minorHAnsi"/>
          <w:b/>
          <w:bCs/>
        </w:rPr>
        <w:lastRenderedPageBreak/>
        <w:t>Manager</w:t>
      </w:r>
      <w:r w:rsidR="00046723" w:rsidRPr="00046723">
        <w:rPr>
          <w:rFonts w:eastAsiaTheme="majorEastAsia" w:cstheme="minorHAnsi"/>
          <w:b/>
          <w:bCs/>
        </w:rPr>
        <w:t xml:space="preserve"> Guide to Identifying P</w:t>
      </w:r>
      <w:r w:rsidRPr="00046723">
        <w:rPr>
          <w:rFonts w:eastAsiaTheme="majorEastAsia" w:cstheme="minorHAnsi"/>
          <w:b/>
          <w:bCs/>
        </w:rPr>
        <w:t xml:space="preserve">otential </w:t>
      </w:r>
    </w:p>
    <w:p w:rsidR="00E2747E" w:rsidRDefault="00E2747E">
      <w:pPr>
        <w:rPr>
          <w:rFonts w:eastAsiaTheme="majorEastAsia" w:cstheme="minorHAnsi"/>
          <w:b/>
          <w:bCs/>
          <w:sz w:val="18"/>
          <w:szCs w:val="18"/>
        </w:rPr>
      </w:pPr>
      <w:r w:rsidRPr="00E2747E">
        <w:rPr>
          <w:rFonts w:eastAsiaTheme="majorEastAsia" w:cstheme="minorHAnsi"/>
          <w:bCs/>
          <w:i/>
          <w:sz w:val="18"/>
          <w:szCs w:val="18"/>
        </w:rPr>
        <w:t>An initial potential rating can be given to individuals based on demonstration of indicators below.  Demonstration of each indicator can be rated by regularity (1=rarely, 5=always) with an average used for overall assessment of potential.</w:t>
      </w:r>
    </w:p>
    <w:p w:rsidR="00E2747E" w:rsidRDefault="00E2747E" w:rsidP="00E2747E">
      <w:pPr>
        <w:ind w:firstLine="720"/>
        <w:rPr>
          <w:rFonts w:eastAsiaTheme="majorEastAsia" w:cstheme="minorHAnsi"/>
          <w:b/>
          <w:bCs/>
          <w:sz w:val="18"/>
          <w:szCs w:val="18"/>
        </w:rPr>
      </w:pPr>
      <w:r>
        <w:rPr>
          <w:rFonts w:eastAsiaTheme="majorEastAsia" w:cstheme="minorHAnsi"/>
          <w:b/>
          <w:bCs/>
          <w:sz w:val="18"/>
          <w:szCs w:val="18"/>
        </w:rPr>
        <w:t>1=Rarely</w:t>
      </w:r>
      <w:r>
        <w:rPr>
          <w:rFonts w:eastAsiaTheme="majorEastAsia" w:cstheme="minorHAnsi"/>
          <w:b/>
          <w:bCs/>
          <w:sz w:val="18"/>
          <w:szCs w:val="18"/>
        </w:rPr>
        <w:tab/>
      </w:r>
      <w:r>
        <w:rPr>
          <w:rFonts w:eastAsiaTheme="majorEastAsia" w:cstheme="minorHAnsi"/>
          <w:b/>
          <w:bCs/>
          <w:sz w:val="18"/>
          <w:szCs w:val="18"/>
        </w:rPr>
        <w:tab/>
        <w:t>2 = Occasionally</w:t>
      </w:r>
      <w:r>
        <w:rPr>
          <w:rFonts w:eastAsiaTheme="majorEastAsia" w:cstheme="minorHAnsi"/>
          <w:b/>
          <w:bCs/>
          <w:sz w:val="18"/>
          <w:szCs w:val="18"/>
        </w:rPr>
        <w:tab/>
      </w:r>
      <w:r>
        <w:rPr>
          <w:rFonts w:eastAsiaTheme="majorEastAsia" w:cstheme="minorHAnsi"/>
          <w:b/>
          <w:bCs/>
          <w:sz w:val="18"/>
          <w:szCs w:val="18"/>
        </w:rPr>
        <w:tab/>
        <w:t>3 = Regularly</w:t>
      </w:r>
      <w:r>
        <w:rPr>
          <w:rFonts w:eastAsiaTheme="majorEastAsia" w:cstheme="minorHAnsi"/>
          <w:b/>
          <w:bCs/>
          <w:sz w:val="18"/>
          <w:szCs w:val="18"/>
        </w:rPr>
        <w:tab/>
      </w:r>
      <w:r>
        <w:rPr>
          <w:rFonts w:eastAsiaTheme="majorEastAsia" w:cstheme="minorHAnsi"/>
          <w:b/>
          <w:bCs/>
          <w:sz w:val="18"/>
          <w:szCs w:val="18"/>
        </w:rPr>
        <w:tab/>
        <w:t>4= Consistently</w:t>
      </w:r>
      <w:r>
        <w:rPr>
          <w:rFonts w:eastAsiaTheme="majorEastAsia" w:cstheme="minorHAnsi"/>
          <w:b/>
          <w:bCs/>
          <w:sz w:val="18"/>
          <w:szCs w:val="18"/>
        </w:rPr>
        <w:tab/>
      </w:r>
      <w:r>
        <w:rPr>
          <w:rFonts w:eastAsiaTheme="majorEastAsia" w:cstheme="minorHAnsi"/>
          <w:b/>
          <w:bCs/>
          <w:sz w:val="18"/>
          <w:szCs w:val="18"/>
        </w:rPr>
        <w:tab/>
        <w:t>5 = Always</w:t>
      </w:r>
    </w:p>
    <w:p w:rsidR="00A3714A" w:rsidRDefault="00A3714A" w:rsidP="00046723">
      <w:pPr>
        <w:spacing w:after="0"/>
        <w:rPr>
          <w:rFonts w:eastAsiaTheme="majorEastAsia" w:cstheme="minorHAnsi"/>
          <w:b/>
          <w:bCs/>
          <w:sz w:val="18"/>
          <w:szCs w:val="18"/>
        </w:rPr>
      </w:pPr>
      <w:r>
        <w:rPr>
          <w:rFonts w:eastAsiaTheme="majorEastAsia" w:cstheme="minorHAnsi"/>
          <w:b/>
          <w:bCs/>
          <w:sz w:val="18"/>
          <w:szCs w:val="18"/>
        </w:rPr>
        <w:t>ABILITY</w:t>
      </w:r>
    </w:p>
    <w:tbl>
      <w:tblPr>
        <w:tblStyle w:val="TableGrid"/>
        <w:tblW w:w="0" w:type="auto"/>
        <w:tblLook w:val="04A0" w:firstRow="1" w:lastRow="0" w:firstColumn="1" w:lastColumn="0" w:noHBand="0" w:noVBand="1"/>
        <w:tblCaption w:val="Ability Assessment"/>
        <w:tblDescription w:val="Questionnaire to assess ability by observing regularity of behaviours indicating cognitive capacity, emotional intelligence, adaptability &amp; learning and propensity to lead."/>
      </w:tblPr>
      <w:tblGrid>
        <w:gridCol w:w="9322"/>
        <w:gridCol w:w="992"/>
      </w:tblGrid>
      <w:tr w:rsidR="00A3714A" w:rsidRPr="00A3714A" w:rsidTr="00A3714A">
        <w:trPr>
          <w:tblHeader/>
        </w:trPr>
        <w:tc>
          <w:tcPr>
            <w:tcW w:w="9322" w:type="dxa"/>
            <w:shd w:val="clear" w:color="auto" w:fill="000000" w:themeFill="text1"/>
          </w:tcPr>
          <w:p w:rsidR="00E2747E" w:rsidRPr="00A3714A" w:rsidRDefault="00E2747E">
            <w:pPr>
              <w:rPr>
                <w:rFonts w:eastAsiaTheme="majorEastAsia" w:cstheme="minorHAnsi"/>
                <w:b/>
                <w:bCs/>
                <w:color w:val="FFFFFF" w:themeColor="background1"/>
                <w:sz w:val="18"/>
                <w:szCs w:val="18"/>
              </w:rPr>
            </w:pPr>
            <w:r w:rsidRPr="00A3714A">
              <w:rPr>
                <w:rFonts w:eastAsiaTheme="majorEastAsia" w:cstheme="minorHAnsi"/>
                <w:b/>
                <w:bCs/>
                <w:color w:val="FFFFFF" w:themeColor="background1"/>
                <w:sz w:val="18"/>
                <w:szCs w:val="18"/>
              </w:rPr>
              <w:t>How consistently do they demonstrate the following?</w:t>
            </w:r>
          </w:p>
        </w:tc>
        <w:tc>
          <w:tcPr>
            <w:tcW w:w="992" w:type="dxa"/>
            <w:shd w:val="clear" w:color="auto" w:fill="000000" w:themeFill="text1"/>
          </w:tcPr>
          <w:p w:rsidR="00E2747E" w:rsidRPr="00A3714A" w:rsidRDefault="00E2747E">
            <w:pPr>
              <w:rPr>
                <w:rFonts w:eastAsiaTheme="majorEastAsia" w:cstheme="minorHAnsi"/>
                <w:b/>
                <w:bCs/>
                <w:color w:val="FFFFFF" w:themeColor="background1"/>
                <w:sz w:val="18"/>
                <w:szCs w:val="18"/>
              </w:rPr>
            </w:pPr>
            <w:r w:rsidRPr="00A3714A">
              <w:rPr>
                <w:rFonts w:eastAsiaTheme="majorEastAsia" w:cstheme="minorHAnsi"/>
                <w:b/>
                <w:bCs/>
                <w:color w:val="FFFFFF" w:themeColor="background1"/>
                <w:sz w:val="18"/>
                <w:szCs w:val="18"/>
              </w:rPr>
              <w:t>1-5</w:t>
            </w:r>
          </w:p>
        </w:tc>
      </w:tr>
      <w:tr w:rsidR="00E2747E" w:rsidTr="00E2747E">
        <w:tc>
          <w:tcPr>
            <w:tcW w:w="9322" w:type="dxa"/>
          </w:tcPr>
          <w:p w:rsidR="00E2747E" w:rsidRDefault="00E2747E">
            <w:pPr>
              <w:rPr>
                <w:rFonts w:eastAsiaTheme="majorEastAsia" w:cstheme="minorHAnsi"/>
                <w:b/>
                <w:bCs/>
                <w:sz w:val="18"/>
                <w:szCs w:val="18"/>
              </w:rPr>
            </w:pPr>
            <w:r>
              <w:rPr>
                <w:rFonts w:eastAsiaTheme="majorEastAsia" w:cstheme="minorHAnsi"/>
                <w:b/>
                <w:bCs/>
                <w:sz w:val="18"/>
                <w:szCs w:val="18"/>
              </w:rPr>
              <w:t>Cognitive Capacity</w:t>
            </w:r>
          </w:p>
          <w:p w:rsidR="00E2747E" w:rsidRPr="00E2747E" w:rsidRDefault="00E2747E" w:rsidP="00E2747E">
            <w:pPr>
              <w:pStyle w:val="ListParagraph"/>
              <w:numPr>
                <w:ilvl w:val="0"/>
                <w:numId w:val="41"/>
              </w:numPr>
              <w:rPr>
                <w:rFonts w:eastAsiaTheme="majorEastAsia" w:cstheme="minorHAnsi"/>
                <w:bCs/>
                <w:sz w:val="18"/>
                <w:szCs w:val="18"/>
              </w:rPr>
            </w:pPr>
            <w:r w:rsidRPr="00E2747E">
              <w:rPr>
                <w:rFonts w:eastAsiaTheme="majorEastAsia" w:cstheme="minorHAnsi"/>
                <w:bCs/>
                <w:sz w:val="18"/>
                <w:szCs w:val="18"/>
              </w:rPr>
              <w:t>Takes in and processes new information quickly</w:t>
            </w:r>
          </w:p>
          <w:p w:rsidR="00E2747E" w:rsidRPr="00E2747E" w:rsidRDefault="00E2747E" w:rsidP="00E2747E">
            <w:pPr>
              <w:pStyle w:val="ListParagraph"/>
              <w:numPr>
                <w:ilvl w:val="0"/>
                <w:numId w:val="41"/>
              </w:numPr>
              <w:rPr>
                <w:rFonts w:eastAsiaTheme="majorEastAsia" w:cstheme="minorHAnsi"/>
                <w:bCs/>
                <w:sz w:val="18"/>
                <w:szCs w:val="18"/>
              </w:rPr>
            </w:pPr>
            <w:r w:rsidRPr="00E2747E">
              <w:rPr>
                <w:rFonts w:eastAsiaTheme="majorEastAsia" w:cstheme="minorHAnsi"/>
                <w:bCs/>
                <w:sz w:val="18"/>
                <w:szCs w:val="18"/>
              </w:rPr>
              <w:t>Makes connections and sees patterns</w:t>
            </w:r>
          </w:p>
          <w:p w:rsidR="00E2747E" w:rsidRPr="00E2747E" w:rsidRDefault="00E2747E" w:rsidP="00E2747E">
            <w:pPr>
              <w:pStyle w:val="ListParagraph"/>
              <w:numPr>
                <w:ilvl w:val="0"/>
                <w:numId w:val="41"/>
              </w:numPr>
              <w:rPr>
                <w:rFonts w:eastAsiaTheme="majorEastAsia" w:cstheme="minorHAnsi"/>
                <w:bCs/>
                <w:sz w:val="18"/>
                <w:szCs w:val="18"/>
              </w:rPr>
            </w:pPr>
            <w:r w:rsidRPr="00E2747E">
              <w:rPr>
                <w:rFonts w:eastAsiaTheme="majorEastAsia" w:cstheme="minorHAnsi"/>
                <w:bCs/>
                <w:sz w:val="18"/>
                <w:szCs w:val="18"/>
              </w:rPr>
              <w:t>Grasps new concepts through formulating ideas and hypotheses</w:t>
            </w:r>
          </w:p>
          <w:p w:rsidR="00E2747E" w:rsidRPr="00E2747E" w:rsidRDefault="00E2747E" w:rsidP="00E2747E">
            <w:pPr>
              <w:pStyle w:val="ListParagraph"/>
              <w:numPr>
                <w:ilvl w:val="0"/>
                <w:numId w:val="41"/>
              </w:numPr>
              <w:rPr>
                <w:rFonts w:eastAsiaTheme="majorEastAsia" w:cstheme="minorHAnsi"/>
                <w:b/>
                <w:bCs/>
                <w:sz w:val="18"/>
                <w:szCs w:val="18"/>
              </w:rPr>
            </w:pPr>
            <w:r w:rsidRPr="00E2747E">
              <w:rPr>
                <w:rFonts w:eastAsiaTheme="majorEastAsia" w:cstheme="minorHAnsi"/>
                <w:bCs/>
                <w:sz w:val="18"/>
                <w:szCs w:val="18"/>
              </w:rPr>
              <w:t>Applies theory to complex tasks</w:t>
            </w:r>
          </w:p>
        </w:tc>
        <w:tc>
          <w:tcPr>
            <w:tcW w:w="992" w:type="dxa"/>
          </w:tcPr>
          <w:p w:rsidR="00E2747E" w:rsidRDefault="00E2747E">
            <w:pPr>
              <w:rPr>
                <w:rFonts w:eastAsiaTheme="majorEastAsia" w:cstheme="minorHAnsi"/>
                <w:b/>
                <w:bCs/>
                <w:sz w:val="18"/>
                <w:szCs w:val="18"/>
              </w:rPr>
            </w:pPr>
          </w:p>
        </w:tc>
      </w:tr>
      <w:tr w:rsidR="00E2747E" w:rsidTr="00E2747E">
        <w:tc>
          <w:tcPr>
            <w:tcW w:w="9322" w:type="dxa"/>
          </w:tcPr>
          <w:p w:rsidR="00E2747E" w:rsidRDefault="00E2747E">
            <w:pPr>
              <w:rPr>
                <w:rFonts w:eastAsiaTheme="majorEastAsia" w:cstheme="minorHAnsi"/>
                <w:b/>
                <w:bCs/>
                <w:sz w:val="18"/>
                <w:szCs w:val="18"/>
              </w:rPr>
            </w:pPr>
            <w:r>
              <w:rPr>
                <w:rFonts w:eastAsiaTheme="majorEastAsia" w:cstheme="minorHAnsi"/>
                <w:b/>
                <w:bCs/>
                <w:sz w:val="18"/>
                <w:szCs w:val="18"/>
              </w:rPr>
              <w:t>Emotional Intelligence</w:t>
            </w:r>
          </w:p>
          <w:p w:rsidR="00E2747E" w:rsidRPr="00E2747E" w:rsidRDefault="00E2747E" w:rsidP="00E2747E">
            <w:pPr>
              <w:pStyle w:val="ListParagraph"/>
              <w:numPr>
                <w:ilvl w:val="0"/>
                <w:numId w:val="40"/>
              </w:numPr>
              <w:rPr>
                <w:rFonts w:eastAsiaTheme="majorEastAsia" w:cstheme="minorHAnsi"/>
                <w:bCs/>
                <w:sz w:val="18"/>
                <w:szCs w:val="18"/>
              </w:rPr>
            </w:pPr>
            <w:r w:rsidRPr="00E2747E">
              <w:rPr>
                <w:rFonts w:eastAsiaTheme="majorEastAsia" w:cstheme="minorHAnsi"/>
                <w:bCs/>
                <w:sz w:val="18"/>
                <w:szCs w:val="18"/>
              </w:rPr>
              <w:t>Emotional stability and resilience</w:t>
            </w:r>
          </w:p>
          <w:p w:rsidR="00E2747E" w:rsidRPr="00E2747E" w:rsidRDefault="00E2747E" w:rsidP="00E2747E">
            <w:pPr>
              <w:pStyle w:val="ListParagraph"/>
              <w:numPr>
                <w:ilvl w:val="0"/>
                <w:numId w:val="40"/>
              </w:numPr>
              <w:rPr>
                <w:rFonts w:eastAsiaTheme="majorEastAsia" w:cstheme="minorHAnsi"/>
                <w:bCs/>
                <w:sz w:val="18"/>
                <w:szCs w:val="18"/>
              </w:rPr>
            </w:pPr>
            <w:r w:rsidRPr="00E2747E">
              <w:rPr>
                <w:rFonts w:eastAsiaTheme="majorEastAsia" w:cstheme="minorHAnsi"/>
                <w:bCs/>
                <w:sz w:val="18"/>
                <w:szCs w:val="18"/>
              </w:rPr>
              <w:t>Self-awareness</w:t>
            </w:r>
          </w:p>
          <w:p w:rsidR="00E2747E" w:rsidRPr="00E2747E" w:rsidRDefault="00E2747E" w:rsidP="00E2747E">
            <w:pPr>
              <w:pStyle w:val="ListParagraph"/>
              <w:numPr>
                <w:ilvl w:val="0"/>
                <w:numId w:val="40"/>
              </w:numPr>
              <w:rPr>
                <w:rFonts w:eastAsiaTheme="majorEastAsia" w:cstheme="minorHAnsi"/>
                <w:bCs/>
                <w:sz w:val="18"/>
                <w:szCs w:val="18"/>
              </w:rPr>
            </w:pPr>
            <w:r w:rsidRPr="00E2747E">
              <w:rPr>
                <w:rFonts w:eastAsiaTheme="majorEastAsia" w:cstheme="minorHAnsi"/>
                <w:bCs/>
                <w:sz w:val="18"/>
                <w:szCs w:val="18"/>
              </w:rPr>
              <w:t xml:space="preserve">Builds good relationships </w:t>
            </w:r>
          </w:p>
          <w:p w:rsidR="00E2747E" w:rsidRPr="00E2747E" w:rsidRDefault="00E2747E" w:rsidP="00E2747E">
            <w:pPr>
              <w:pStyle w:val="ListParagraph"/>
              <w:numPr>
                <w:ilvl w:val="0"/>
                <w:numId w:val="40"/>
              </w:numPr>
              <w:rPr>
                <w:rFonts w:eastAsiaTheme="majorEastAsia" w:cstheme="minorHAnsi"/>
                <w:bCs/>
                <w:sz w:val="18"/>
                <w:szCs w:val="18"/>
              </w:rPr>
            </w:pPr>
            <w:r w:rsidRPr="00E2747E">
              <w:rPr>
                <w:rFonts w:eastAsiaTheme="majorEastAsia" w:cstheme="minorHAnsi"/>
                <w:bCs/>
                <w:sz w:val="18"/>
                <w:szCs w:val="18"/>
              </w:rPr>
              <w:t>Willingness to collaborate</w:t>
            </w:r>
          </w:p>
          <w:p w:rsidR="00E2747E" w:rsidRPr="00E2747E" w:rsidRDefault="00E2747E" w:rsidP="00E2747E">
            <w:pPr>
              <w:pStyle w:val="ListParagraph"/>
              <w:numPr>
                <w:ilvl w:val="0"/>
                <w:numId w:val="40"/>
              </w:numPr>
              <w:rPr>
                <w:rFonts w:eastAsiaTheme="majorEastAsia" w:cstheme="minorHAnsi"/>
                <w:b/>
                <w:bCs/>
                <w:sz w:val="18"/>
                <w:szCs w:val="18"/>
              </w:rPr>
            </w:pPr>
            <w:r w:rsidRPr="00E2747E">
              <w:rPr>
                <w:rFonts w:eastAsiaTheme="majorEastAsia" w:cstheme="minorHAnsi"/>
                <w:bCs/>
                <w:sz w:val="18"/>
                <w:szCs w:val="18"/>
              </w:rPr>
              <w:t>Empathy</w:t>
            </w:r>
          </w:p>
        </w:tc>
        <w:tc>
          <w:tcPr>
            <w:tcW w:w="992" w:type="dxa"/>
          </w:tcPr>
          <w:p w:rsidR="00E2747E" w:rsidRDefault="00E2747E">
            <w:pPr>
              <w:rPr>
                <w:rFonts w:eastAsiaTheme="majorEastAsia" w:cstheme="minorHAnsi"/>
                <w:b/>
                <w:bCs/>
                <w:sz w:val="18"/>
                <w:szCs w:val="18"/>
              </w:rPr>
            </w:pPr>
          </w:p>
        </w:tc>
      </w:tr>
      <w:tr w:rsidR="00E2747E" w:rsidTr="00E2747E">
        <w:tc>
          <w:tcPr>
            <w:tcW w:w="9322" w:type="dxa"/>
          </w:tcPr>
          <w:p w:rsidR="00E2747E" w:rsidRDefault="00E2747E">
            <w:pPr>
              <w:rPr>
                <w:rFonts w:eastAsiaTheme="majorEastAsia" w:cstheme="minorHAnsi"/>
                <w:b/>
                <w:bCs/>
                <w:sz w:val="18"/>
                <w:szCs w:val="18"/>
              </w:rPr>
            </w:pPr>
            <w:r>
              <w:rPr>
                <w:rFonts w:eastAsiaTheme="majorEastAsia" w:cstheme="minorHAnsi"/>
                <w:b/>
                <w:bCs/>
                <w:sz w:val="18"/>
                <w:szCs w:val="18"/>
              </w:rPr>
              <w:t xml:space="preserve">Adaptability &amp; Learning </w:t>
            </w:r>
          </w:p>
          <w:p w:rsidR="00E2747E" w:rsidRPr="00E2747E" w:rsidRDefault="00E2747E" w:rsidP="00E2747E">
            <w:pPr>
              <w:pStyle w:val="ListParagraph"/>
              <w:numPr>
                <w:ilvl w:val="0"/>
                <w:numId w:val="39"/>
              </w:numPr>
              <w:rPr>
                <w:rFonts w:eastAsiaTheme="majorEastAsia" w:cstheme="minorHAnsi"/>
                <w:bCs/>
                <w:sz w:val="18"/>
                <w:szCs w:val="18"/>
              </w:rPr>
            </w:pPr>
            <w:r w:rsidRPr="00E2747E">
              <w:rPr>
                <w:rFonts w:eastAsiaTheme="majorEastAsia" w:cstheme="minorHAnsi"/>
                <w:bCs/>
                <w:sz w:val="18"/>
                <w:szCs w:val="18"/>
              </w:rPr>
              <w:t>An interest in learning</w:t>
            </w:r>
          </w:p>
          <w:p w:rsidR="00E2747E" w:rsidRPr="00E2747E" w:rsidRDefault="00E2747E" w:rsidP="00E2747E">
            <w:pPr>
              <w:pStyle w:val="ListParagraph"/>
              <w:numPr>
                <w:ilvl w:val="0"/>
                <w:numId w:val="39"/>
              </w:numPr>
              <w:rPr>
                <w:rFonts w:eastAsiaTheme="majorEastAsia" w:cstheme="minorHAnsi"/>
                <w:bCs/>
                <w:sz w:val="18"/>
                <w:szCs w:val="18"/>
              </w:rPr>
            </w:pPr>
            <w:r w:rsidRPr="00E2747E">
              <w:rPr>
                <w:rFonts w:eastAsiaTheme="majorEastAsia" w:cstheme="minorHAnsi"/>
                <w:bCs/>
                <w:sz w:val="18"/>
                <w:szCs w:val="18"/>
              </w:rPr>
              <w:t>Openness to feedback</w:t>
            </w:r>
          </w:p>
          <w:p w:rsidR="00E2747E" w:rsidRPr="00E2747E" w:rsidRDefault="00E2747E" w:rsidP="00E2747E">
            <w:pPr>
              <w:pStyle w:val="ListParagraph"/>
              <w:numPr>
                <w:ilvl w:val="0"/>
                <w:numId w:val="39"/>
              </w:numPr>
              <w:rPr>
                <w:rFonts w:eastAsiaTheme="majorEastAsia" w:cstheme="minorHAnsi"/>
                <w:bCs/>
                <w:sz w:val="18"/>
                <w:szCs w:val="18"/>
              </w:rPr>
            </w:pPr>
            <w:r w:rsidRPr="00E2747E">
              <w:rPr>
                <w:rFonts w:eastAsiaTheme="majorEastAsia" w:cstheme="minorHAnsi"/>
                <w:bCs/>
                <w:sz w:val="18"/>
                <w:szCs w:val="18"/>
              </w:rPr>
              <w:t>Versatility</w:t>
            </w:r>
          </w:p>
          <w:p w:rsidR="00E2747E" w:rsidRPr="00E2747E" w:rsidRDefault="00E2747E" w:rsidP="00E2747E">
            <w:pPr>
              <w:pStyle w:val="ListParagraph"/>
              <w:numPr>
                <w:ilvl w:val="0"/>
                <w:numId w:val="39"/>
              </w:numPr>
              <w:rPr>
                <w:rFonts w:eastAsiaTheme="majorEastAsia" w:cstheme="minorHAnsi"/>
                <w:bCs/>
                <w:sz w:val="18"/>
                <w:szCs w:val="18"/>
              </w:rPr>
            </w:pPr>
            <w:r w:rsidRPr="00E2747E">
              <w:rPr>
                <w:rFonts w:eastAsiaTheme="majorEastAsia" w:cstheme="minorHAnsi"/>
                <w:bCs/>
                <w:sz w:val="18"/>
                <w:szCs w:val="18"/>
              </w:rPr>
              <w:t>Adaptability</w:t>
            </w:r>
          </w:p>
          <w:p w:rsidR="00E2747E" w:rsidRPr="00E2747E" w:rsidRDefault="00E2747E" w:rsidP="00E2747E">
            <w:pPr>
              <w:pStyle w:val="ListParagraph"/>
              <w:numPr>
                <w:ilvl w:val="0"/>
                <w:numId w:val="39"/>
              </w:numPr>
              <w:rPr>
                <w:rFonts w:eastAsiaTheme="majorEastAsia" w:cstheme="minorHAnsi"/>
                <w:b/>
                <w:bCs/>
                <w:sz w:val="18"/>
                <w:szCs w:val="18"/>
              </w:rPr>
            </w:pPr>
            <w:r w:rsidRPr="00E2747E">
              <w:rPr>
                <w:rFonts w:eastAsiaTheme="majorEastAsia" w:cstheme="minorHAnsi"/>
                <w:bCs/>
                <w:sz w:val="18"/>
                <w:szCs w:val="18"/>
              </w:rPr>
              <w:t>Translates learning to behavioural change and action</w:t>
            </w:r>
          </w:p>
        </w:tc>
        <w:tc>
          <w:tcPr>
            <w:tcW w:w="992" w:type="dxa"/>
          </w:tcPr>
          <w:p w:rsidR="00E2747E" w:rsidRDefault="00E2747E">
            <w:pPr>
              <w:rPr>
                <w:rFonts w:eastAsiaTheme="majorEastAsia" w:cstheme="minorHAnsi"/>
                <w:b/>
                <w:bCs/>
                <w:sz w:val="18"/>
                <w:szCs w:val="18"/>
              </w:rPr>
            </w:pPr>
          </w:p>
        </w:tc>
      </w:tr>
      <w:tr w:rsidR="00E2747E" w:rsidTr="00E2747E">
        <w:tc>
          <w:tcPr>
            <w:tcW w:w="9322" w:type="dxa"/>
          </w:tcPr>
          <w:p w:rsidR="00E2747E" w:rsidRDefault="00E2747E">
            <w:pPr>
              <w:rPr>
                <w:rFonts w:eastAsiaTheme="majorEastAsia" w:cstheme="minorHAnsi"/>
                <w:b/>
                <w:bCs/>
                <w:sz w:val="18"/>
                <w:szCs w:val="18"/>
              </w:rPr>
            </w:pPr>
            <w:r>
              <w:rPr>
                <w:rFonts w:eastAsiaTheme="majorEastAsia" w:cstheme="minorHAnsi"/>
                <w:b/>
                <w:bCs/>
                <w:sz w:val="18"/>
                <w:szCs w:val="18"/>
              </w:rPr>
              <w:t>Propensity to Lead</w:t>
            </w:r>
          </w:p>
          <w:p w:rsidR="00E2747E" w:rsidRPr="00E2747E" w:rsidRDefault="00E2747E" w:rsidP="00E2747E">
            <w:pPr>
              <w:pStyle w:val="ListParagraph"/>
              <w:numPr>
                <w:ilvl w:val="0"/>
                <w:numId w:val="38"/>
              </w:numPr>
              <w:rPr>
                <w:rFonts w:eastAsiaTheme="majorEastAsia" w:cstheme="minorHAnsi"/>
                <w:bCs/>
                <w:sz w:val="18"/>
                <w:szCs w:val="18"/>
              </w:rPr>
            </w:pPr>
            <w:r w:rsidRPr="00E2747E">
              <w:rPr>
                <w:rFonts w:eastAsiaTheme="majorEastAsia" w:cstheme="minorHAnsi"/>
                <w:bCs/>
                <w:sz w:val="18"/>
                <w:szCs w:val="18"/>
              </w:rPr>
              <w:t>Comfort with holding authority</w:t>
            </w:r>
          </w:p>
          <w:p w:rsidR="00E2747E" w:rsidRPr="00E2747E" w:rsidRDefault="00E2747E" w:rsidP="00E2747E">
            <w:pPr>
              <w:pStyle w:val="ListParagraph"/>
              <w:numPr>
                <w:ilvl w:val="0"/>
                <w:numId w:val="38"/>
              </w:numPr>
              <w:rPr>
                <w:rFonts w:eastAsiaTheme="majorEastAsia" w:cstheme="minorHAnsi"/>
                <w:bCs/>
                <w:sz w:val="18"/>
                <w:szCs w:val="18"/>
              </w:rPr>
            </w:pPr>
            <w:r w:rsidRPr="00E2747E">
              <w:rPr>
                <w:rFonts w:eastAsiaTheme="majorEastAsia" w:cstheme="minorHAnsi"/>
                <w:bCs/>
                <w:sz w:val="18"/>
                <w:szCs w:val="18"/>
              </w:rPr>
              <w:t>Propensity to set direction</w:t>
            </w:r>
          </w:p>
          <w:p w:rsidR="00E2747E" w:rsidRPr="00E2747E" w:rsidRDefault="00E2747E" w:rsidP="00E2747E">
            <w:pPr>
              <w:pStyle w:val="ListParagraph"/>
              <w:numPr>
                <w:ilvl w:val="0"/>
                <w:numId w:val="38"/>
              </w:numPr>
              <w:rPr>
                <w:rFonts w:eastAsiaTheme="majorEastAsia" w:cstheme="minorHAnsi"/>
                <w:bCs/>
                <w:sz w:val="18"/>
                <w:szCs w:val="18"/>
              </w:rPr>
            </w:pPr>
            <w:r w:rsidRPr="00E2747E">
              <w:rPr>
                <w:rFonts w:eastAsiaTheme="majorEastAsia" w:cstheme="minorHAnsi"/>
                <w:bCs/>
                <w:sz w:val="18"/>
                <w:szCs w:val="18"/>
              </w:rPr>
              <w:t>Uses influence</w:t>
            </w:r>
          </w:p>
          <w:p w:rsidR="00E2747E" w:rsidRPr="00E2747E" w:rsidRDefault="00E2747E" w:rsidP="00E2747E">
            <w:pPr>
              <w:pStyle w:val="ListParagraph"/>
              <w:numPr>
                <w:ilvl w:val="0"/>
                <w:numId w:val="38"/>
              </w:numPr>
              <w:rPr>
                <w:rFonts w:eastAsiaTheme="majorEastAsia" w:cstheme="minorHAnsi"/>
                <w:b/>
                <w:bCs/>
                <w:sz w:val="18"/>
                <w:szCs w:val="18"/>
              </w:rPr>
            </w:pPr>
            <w:r w:rsidRPr="00E2747E">
              <w:rPr>
                <w:rFonts w:eastAsiaTheme="majorEastAsia" w:cstheme="minorHAnsi"/>
                <w:bCs/>
                <w:sz w:val="18"/>
                <w:szCs w:val="18"/>
              </w:rPr>
              <w:t>Develops and inspires others</w:t>
            </w:r>
          </w:p>
        </w:tc>
        <w:tc>
          <w:tcPr>
            <w:tcW w:w="992" w:type="dxa"/>
          </w:tcPr>
          <w:p w:rsidR="00E2747E" w:rsidRDefault="00E2747E">
            <w:pPr>
              <w:rPr>
                <w:rFonts w:eastAsiaTheme="majorEastAsia" w:cstheme="minorHAnsi"/>
                <w:b/>
                <w:bCs/>
                <w:sz w:val="18"/>
                <w:szCs w:val="18"/>
              </w:rPr>
            </w:pPr>
          </w:p>
        </w:tc>
      </w:tr>
    </w:tbl>
    <w:p w:rsidR="00046723" w:rsidRDefault="00046723" w:rsidP="00046723">
      <w:pPr>
        <w:spacing w:after="0"/>
        <w:rPr>
          <w:rFonts w:eastAsiaTheme="majorEastAsia" w:cstheme="minorHAnsi"/>
          <w:b/>
          <w:bCs/>
          <w:sz w:val="18"/>
          <w:szCs w:val="18"/>
        </w:rPr>
      </w:pPr>
    </w:p>
    <w:p w:rsidR="00A3714A" w:rsidRDefault="00A3714A" w:rsidP="00046723">
      <w:pPr>
        <w:spacing w:after="0"/>
        <w:rPr>
          <w:rFonts w:eastAsiaTheme="majorEastAsia" w:cstheme="minorHAnsi"/>
          <w:b/>
          <w:bCs/>
          <w:sz w:val="18"/>
          <w:szCs w:val="18"/>
        </w:rPr>
      </w:pPr>
      <w:r>
        <w:rPr>
          <w:rFonts w:eastAsiaTheme="majorEastAsia" w:cstheme="minorHAnsi"/>
          <w:b/>
          <w:bCs/>
          <w:sz w:val="18"/>
          <w:szCs w:val="18"/>
        </w:rPr>
        <w:t>ASPIRATION</w:t>
      </w:r>
    </w:p>
    <w:tbl>
      <w:tblPr>
        <w:tblStyle w:val="TableGrid"/>
        <w:tblW w:w="0" w:type="auto"/>
        <w:tblLook w:val="04A0" w:firstRow="1" w:lastRow="0" w:firstColumn="1" w:lastColumn="0" w:noHBand="0" w:noVBand="1"/>
        <w:tblCaption w:val="Aspiration Assessment"/>
        <w:tblDescription w:val="Questionnaire to assess aspiration by observing regularity of behaviours indicating motivation and career aspiration."/>
      </w:tblPr>
      <w:tblGrid>
        <w:gridCol w:w="9322"/>
        <w:gridCol w:w="992"/>
      </w:tblGrid>
      <w:tr w:rsidR="00A3714A" w:rsidRPr="00A3714A" w:rsidTr="00A3714A">
        <w:trPr>
          <w:tblHeader/>
        </w:trPr>
        <w:tc>
          <w:tcPr>
            <w:tcW w:w="9322" w:type="dxa"/>
            <w:shd w:val="clear" w:color="auto" w:fill="000000" w:themeFill="text1"/>
          </w:tcPr>
          <w:p w:rsidR="00A3714A" w:rsidRPr="00A3714A" w:rsidRDefault="00A3714A" w:rsidP="004706AC">
            <w:pPr>
              <w:rPr>
                <w:rFonts w:eastAsiaTheme="majorEastAsia" w:cstheme="minorHAnsi"/>
                <w:b/>
                <w:bCs/>
                <w:color w:val="FFFFFF" w:themeColor="background1"/>
                <w:sz w:val="18"/>
                <w:szCs w:val="18"/>
              </w:rPr>
            </w:pPr>
            <w:r w:rsidRPr="00A3714A">
              <w:rPr>
                <w:rFonts w:eastAsiaTheme="majorEastAsia" w:cstheme="minorHAnsi"/>
                <w:b/>
                <w:bCs/>
                <w:color w:val="FFFFFF" w:themeColor="background1"/>
                <w:sz w:val="18"/>
                <w:szCs w:val="18"/>
              </w:rPr>
              <w:t>How consistently do they demonstrate the following?</w:t>
            </w:r>
          </w:p>
        </w:tc>
        <w:tc>
          <w:tcPr>
            <w:tcW w:w="992" w:type="dxa"/>
            <w:shd w:val="clear" w:color="auto" w:fill="000000" w:themeFill="text1"/>
          </w:tcPr>
          <w:p w:rsidR="00A3714A" w:rsidRPr="00A3714A" w:rsidRDefault="00A3714A" w:rsidP="004706AC">
            <w:pPr>
              <w:rPr>
                <w:rFonts w:eastAsiaTheme="majorEastAsia" w:cstheme="minorHAnsi"/>
                <w:b/>
                <w:bCs/>
                <w:color w:val="FFFFFF" w:themeColor="background1"/>
                <w:sz w:val="18"/>
                <w:szCs w:val="18"/>
              </w:rPr>
            </w:pPr>
            <w:r w:rsidRPr="00A3714A">
              <w:rPr>
                <w:rFonts w:eastAsiaTheme="majorEastAsia" w:cstheme="minorHAnsi"/>
                <w:b/>
                <w:bCs/>
                <w:color w:val="FFFFFF" w:themeColor="background1"/>
                <w:sz w:val="18"/>
                <w:szCs w:val="18"/>
              </w:rPr>
              <w:t>1-5</w:t>
            </w:r>
          </w:p>
        </w:tc>
      </w:tr>
      <w:tr w:rsidR="00A3714A" w:rsidTr="004706AC">
        <w:tc>
          <w:tcPr>
            <w:tcW w:w="9322" w:type="dxa"/>
          </w:tcPr>
          <w:p w:rsidR="00A3714A" w:rsidRDefault="00A3714A" w:rsidP="004706AC">
            <w:pPr>
              <w:rPr>
                <w:rFonts w:eastAsiaTheme="majorEastAsia" w:cstheme="minorHAnsi"/>
                <w:b/>
                <w:bCs/>
                <w:sz w:val="18"/>
                <w:szCs w:val="18"/>
              </w:rPr>
            </w:pPr>
            <w:r>
              <w:rPr>
                <w:rFonts w:eastAsiaTheme="majorEastAsia" w:cstheme="minorHAnsi"/>
                <w:b/>
                <w:bCs/>
                <w:sz w:val="18"/>
                <w:szCs w:val="18"/>
              </w:rPr>
              <w:t>Motivation</w:t>
            </w:r>
          </w:p>
          <w:p w:rsidR="00A3714A" w:rsidRPr="00A3714A" w:rsidRDefault="00A3714A" w:rsidP="004706AC">
            <w:pPr>
              <w:pStyle w:val="ListParagraph"/>
              <w:numPr>
                <w:ilvl w:val="0"/>
                <w:numId w:val="41"/>
              </w:numPr>
              <w:rPr>
                <w:rFonts w:eastAsiaTheme="majorEastAsia" w:cstheme="minorHAnsi"/>
                <w:b/>
                <w:bCs/>
                <w:sz w:val="18"/>
                <w:szCs w:val="18"/>
              </w:rPr>
            </w:pPr>
            <w:r>
              <w:rPr>
                <w:rFonts w:eastAsiaTheme="majorEastAsia" w:cstheme="minorHAnsi"/>
                <w:bCs/>
                <w:sz w:val="18"/>
                <w:szCs w:val="18"/>
              </w:rPr>
              <w:t>Commitment to goals</w:t>
            </w:r>
          </w:p>
          <w:p w:rsidR="00A3714A" w:rsidRPr="00A3714A" w:rsidRDefault="00A3714A" w:rsidP="004706AC">
            <w:pPr>
              <w:pStyle w:val="ListParagraph"/>
              <w:numPr>
                <w:ilvl w:val="0"/>
                <w:numId w:val="41"/>
              </w:numPr>
              <w:rPr>
                <w:rFonts w:eastAsiaTheme="majorEastAsia" w:cstheme="minorHAnsi"/>
                <w:b/>
                <w:bCs/>
                <w:sz w:val="18"/>
                <w:szCs w:val="18"/>
              </w:rPr>
            </w:pPr>
            <w:r>
              <w:rPr>
                <w:rFonts w:eastAsiaTheme="majorEastAsia" w:cstheme="minorHAnsi"/>
                <w:bCs/>
                <w:sz w:val="18"/>
                <w:szCs w:val="18"/>
              </w:rPr>
              <w:t>Sees goals to completion</w:t>
            </w:r>
          </w:p>
          <w:p w:rsidR="00A3714A" w:rsidRPr="00A3714A" w:rsidRDefault="00A3714A" w:rsidP="004706AC">
            <w:pPr>
              <w:pStyle w:val="ListParagraph"/>
              <w:numPr>
                <w:ilvl w:val="0"/>
                <w:numId w:val="41"/>
              </w:numPr>
              <w:rPr>
                <w:rFonts w:eastAsiaTheme="majorEastAsia" w:cstheme="minorHAnsi"/>
                <w:b/>
                <w:bCs/>
                <w:sz w:val="18"/>
                <w:szCs w:val="18"/>
              </w:rPr>
            </w:pPr>
            <w:r>
              <w:rPr>
                <w:rFonts w:eastAsiaTheme="majorEastAsia" w:cstheme="minorHAnsi"/>
                <w:bCs/>
                <w:sz w:val="18"/>
                <w:szCs w:val="18"/>
              </w:rPr>
              <w:t>Take calculated risks in the interest of achieving outcomes</w:t>
            </w:r>
          </w:p>
          <w:p w:rsidR="00A3714A" w:rsidRPr="00E2747E" w:rsidRDefault="00A3714A" w:rsidP="004706AC">
            <w:pPr>
              <w:pStyle w:val="ListParagraph"/>
              <w:numPr>
                <w:ilvl w:val="0"/>
                <w:numId w:val="41"/>
              </w:numPr>
              <w:rPr>
                <w:rFonts w:eastAsiaTheme="majorEastAsia" w:cstheme="minorHAnsi"/>
                <w:b/>
                <w:bCs/>
                <w:sz w:val="18"/>
                <w:szCs w:val="18"/>
              </w:rPr>
            </w:pPr>
            <w:r>
              <w:rPr>
                <w:rFonts w:eastAsiaTheme="majorEastAsia" w:cstheme="minorHAnsi"/>
                <w:bCs/>
                <w:sz w:val="18"/>
                <w:szCs w:val="18"/>
              </w:rPr>
              <w:t>Achieves in a variety of contexts and settings</w:t>
            </w:r>
          </w:p>
        </w:tc>
        <w:tc>
          <w:tcPr>
            <w:tcW w:w="992" w:type="dxa"/>
          </w:tcPr>
          <w:p w:rsidR="00A3714A" w:rsidRDefault="00A3714A" w:rsidP="004706AC">
            <w:pPr>
              <w:rPr>
                <w:rFonts w:eastAsiaTheme="majorEastAsia" w:cstheme="minorHAnsi"/>
                <w:b/>
                <w:bCs/>
                <w:sz w:val="18"/>
                <w:szCs w:val="18"/>
              </w:rPr>
            </w:pPr>
          </w:p>
        </w:tc>
      </w:tr>
      <w:tr w:rsidR="00A3714A" w:rsidTr="004706AC">
        <w:tc>
          <w:tcPr>
            <w:tcW w:w="9322" w:type="dxa"/>
          </w:tcPr>
          <w:p w:rsidR="00A3714A" w:rsidRDefault="00A3714A" w:rsidP="004706AC">
            <w:pPr>
              <w:rPr>
                <w:rFonts w:eastAsiaTheme="majorEastAsia" w:cstheme="minorHAnsi"/>
                <w:b/>
                <w:bCs/>
                <w:sz w:val="18"/>
                <w:szCs w:val="18"/>
              </w:rPr>
            </w:pPr>
            <w:r>
              <w:rPr>
                <w:rFonts w:eastAsiaTheme="majorEastAsia" w:cstheme="minorHAnsi"/>
                <w:b/>
                <w:bCs/>
                <w:sz w:val="18"/>
                <w:szCs w:val="18"/>
              </w:rPr>
              <w:t>Career Aspiration</w:t>
            </w:r>
          </w:p>
          <w:p w:rsidR="00A3714A" w:rsidRPr="00A3714A" w:rsidRDefault="00A3714A" w:rsidP="004706AC">
            <w:pPr>
              <w:pStyle w:val="ListParagraph"/>
              <w:numPr>
                <w:ilvl w:val="0"/>
                <w:numId w:val="40"/>
              </w:numPr>
              <w:rPr>
                <w:rFonts w:eastAsiaTheme="majorEastAsia" w:cstheme="minorHAnsi"/>
                <w:b/>
                <w:bCs/>
                <w:sz w:val="18"/>
                <w:szCs w:val="18"/>
              </w:rPr>
            </w:pPr>
            <w:r>
              <w:rPr>
                <w:rFonts w:eastAsiaTheme="majorEastAsia" w:cstheme="minorHAnsi"/>
                <w:bCs/>
                <w:sz w:val="18"/>
                <w:szCs w:val="18"/>
              </w:rPr>
              <w:t>Expresses a desire to progress their career</w:t>
            </w:r>
          </w:p>
          <w:p w:rsidR="00A3714A" w:rsidRPr="00A3714A" w:rsidRDefault="00A3714A" w:rsidP="004706AC">
            <w:pPr>
              <w:pStyle w:val="ListParagraph"/>
              <w:numPr>
                <w:ilvl w:val="0"/>
                <w:numId w:val="40"/>
              </w:numPr>
              <w:rPr>
                <w:rFonts w:eastAsiaTheme="majorEastAsia" w:cstheme="minorHAnsi"/>
                <w:b/>
                <w:bCs/>
                <w:sz w:val="18"/>
                <w:szCs w:val="18"/>
              </w:rPr>
            </w:pPr>
            <w:r>
              <w:rPr>
                <w:rFonts w:eastAsiaTheme="majorEastAsia" w:cstheme="minorHAnsi"/>
                <w:bCs/>
                <w:sz w:val="18"/>
                <w:szCs w:val="18"/>
              </w:rPr>
              <w:t>Preparedness to take on greater responsibility</w:t>
            </w:r>
          </w:p>
          <w:p w:rsidR="00A3714A" w:rsidRPr="00A3714A" w:rsidRDefault="00A3714A" w:rsidP="004706AC">
            <w:pPr>
              <w:pStyle w:val="ListParagraph"/>
              <w:numPr>
                <w:ilvl w:val="0"/>
                <w:numId w:val="40"/>
              </w:numPr>
              <w:rPr>
                <w:rFonts w:eastAsiaTheme="majorEastAsia" w:cstheme="minorHAnsi"/>
                <w:b/>
                <w:bCs/>
                <w:sz w:val="18"/>
                <w:szCs w:val="18"/>
              </w:rPr>
            </w:pPr>
            <w:r>
              <w:rPr>
                <w:rFonts w:eastAsiaTheme="majorEastAsia" w:cstheme="minorHAnsi"/>
                <w:bCs/>
                <w:sz w:val="18"/>
                <w:szCs w:val="18"/>
              </w:rPr>
              <w:t>Preparedness to step into new or complex assignments in order to learn</w:t>
            </w:r>
          </w:p>
          <w:p w:rsidR="00A3714A" w:rsidRPr="00E2747E" w:rsidRDefault="00A3714A" w:rsidP="004706AC">
            <w:pPr>
              <w:pStyle w:val="ListParagraph"/>
              <w:numPr>
                <w:ilvl w:val="0"/>
                <w:numId w:val="40"/>
              </w:numPr>
              <w:rPr>
                <w:rFonts w:eastAsiaTheme="majorEastAsia" w:cstheme="minorHAnsi"/>
                <w:b/>
                <w:bCs/>
                <w:sz w:val="18"/>
                <w:szCs w:val="18"/>
              </w:rPr>
            </w:pPr>
            <w:r>
              <w:rPr>
                <w:rFonts w:eastAsiaTheme="majorEastAsia" w:cstheme="minorHAnsi"/>
                <w:bCs/>
                <w:sz w:val="18"/>
                <w:szCs w:val="18"/>
              </w:rPr>
              <w:t>Ambition</w:t>
            </w:r>
          </w:p>
        </w:tc>
        <w:tc>
          <w:tcPr>
            <w:tcW w:w="992" w:type="dxa"/>
          </w:tcPr>
          <w:p w:rsidR="00A3714A" w:rsidRDefault="00A3714A" w:rsidP="004706AC">
            <w:pPr>
              <w:rPr>
                <w:rFonts w:eastAsiaTheme="majorEastAsia" w:cstheme="minorHAnsi"/>
                <w:b/>
                <w:bCs/>
                <w:sz w:val="18"/>
                <w:szCs w:val="18"/>
              </w:rPr>
            </w:pPr>
          </w:p>
        </w:tc>
      </w:tr>
    </w:tbl>
    <w:p w:rsidR="00A3714A" w:rsidRDefault="00A3714A" w:rsidP="00046723">
      <w:pPr>
        <w:spacing w:after="0"/>
        <w:rPr>
          <w:rFonts w:eastAsiaTheme="majorEastAsia" w:cstheme="minorHAnsi"/>
          <w:b/>
          <w:bCs/>
          <w:sz w:val="18"/>
          <w:szCs w:val="18"/>
        </w:rPr>
      </w:pPr>
    </w:p>
    <w:p w:rsidR="00A3714A" w:rsidRDefault="00A3714A" w:rsidP="00046723">
      <w:pPr>
        <w:spacing w:after="0"/>
        <w:rPr>
          <w:rFonts w:eastAsiaTheme="majorEastAsia" w:cstheme="minorHAnsi"/>
          <w:b/>
          <w:bCs/>
          <w:sz w:val="18"/>
          <w:szCs w:val="18"/>
        </w:rPr>
      </w:pPr>
      <w:r>
        <w:rPr>
          <w:rFonts w:eastAsiaTheme="majorEastAsia" w:cstheme="minorHAnsi"/>
          <w:b/>
          <w:bCs/>
          <w:sz w:val="18"/>
          <w:szCs w:val="18"/>
        </w:rPr>
        <w:t>ENGAGEMENT</w:t>
      </w:r>
    </w:p>
    <w:tbl>
      <w:tblPr>
        <w:tblStyle w:val="TableGrid"/>
        <w:tblW w:w="0" w:type="auto"/>
        <w:tblLook w:val="04A0" w:firstRow="1" w:lastRow="0" w:firstColumn="1" w:lastColumn="0" w:noHBand="0" w:noVBand="1"/>
        <w:tblCaption w:val="Engagement Assessment"/>
        <w:tblDescription w:val="Questionnaire to assess engagement by observing regularity of behaviours indicating alignment with APS culture and values and discretionary effort."/>
      </w:tblPr>
      <w:tblGrid>
        <w:gridCol w:w="9322"/>
        <w:gridCol w:w="992"/>
      </w:tblGrid>
      <w:tr w:rsidR="00A3714A" w:rsidRPr="00A3714A" w:rsidTr="00A3714A">
        <w:trPr>
          <w:tblHeader/>
        </w:trPr>
        <w:tc>
          <w:tcPr>
            <w:tcW w:w="9322" w:type="dxa"/>
            <w:shd w:val="clear" w:color="auto" w:fill="000000" w:themeFill="text1"/>
          </w:tcPr>
          <w:p w:rsidR="00A3714A" w:rsidRPr="00A3714A" w:rsidRDefault="00A3714A" w:rsidP="004706AC">
            <w:pPr>
              <w:rPr>
                <w:rFonts w:eastAsiaTheme="majorEastAsia" w:cstheme="minorHAnsi"/>
                <w:b/>
                <w:bCs/>
                <w:color w:val="FFFFFF" w:themeColor="background1"/>
                <w:sz w:val="18"/>
                <w:szCs w:val="18"/>
              </w:rPr>
            </w:pPr>
            <w:r w:rsidRPr="00A3714A">
              <w:rPr>
                <w:rFonts w:eastAsiaTheme="majorEastAsia" w:cstheme="minorHAnsi"/>
                <w:b/>
                <w:bCs/>
                <w:color w:val="FFFFFF" w:themeColor="background1"/>
                <w:sz w:val="18"/>
                <w:szCs w:val="18"/>
              </w:rPr>
              <w:t>How consistently do they demonstrate the following?</w:t>
            </w:r>
          </w:p>
        </w:tc>
        <w:tc>
          <w:tcPr>
            <w:tcW w:w="992" w:type="dxa"/>
            <w:shd w:val="clear" w:color="auto" w:fill="000000" w:themeFill="text1"/>
          </w:tcPr>
          <w:p w:rsidR="00A3714A" w:rsidRPr="00A3714A" w:rsidRDefault="00A3714A" w:rsidP="004706AC">
            <w:pPr>
              <w:rPr>
                <w:rFonts w:eastAsiaTheme="majorEastAsia" w:cstheme="minorHAnsi"/>
                <w:b/>
                <w:bCs/>
                <w:color w:val="FFFFFF" w:themeColor="background1"/>
                <w:sz w:val="18"/>
                <w:szCs w:val="18"/>
              </w:rPr>
            </w:pPr>
            <w:r w:rsidRPr="00A3714A">
              <w:rPr>
                <w:rFonts w:eastAsiaTheme="majorEastAsia" w:cstheme="minorHAnsi"/>
                <w:b/>
                <w:bCs/>
                <w:color w:val="FFFFFF" w:themeColor="background1"/>
                <w:sz w:val="18"/>
                <w:szCs w:val="18"/>
              </w:rPr>
              <w:t>1-5</w:t>
            </w:r>
          </w:p>
        </w:tc>
      </w:tr>
      <w:tr w:rsidR="00A3714A" w:rsidTr="004706AC">
        <w:tc>
          <w:tcPr>
            <w:tcW w:w="9322" w:type="dxa"/>
          </w:tcPr>
          <w:p w:rsidR="00A3714A" w:rsidRDefault="00A3714A" w:rsidP="004706AC">
            <w:pPr>
              <w:rPr>
                <w:rFonts w:eastAsiaTheme="majorEastAsia" w:cstheme="minorHAnsi"/>
                <w:b/>
                <w:bCs/>
                <w:sz w:val="18"/>
                <w:szCs w:val="18"/>
              </w:rPr>
            </w:pPr>
            <w:r>
              <w:rPr>
                <w:rFonts w:eastAsiaTheme="majorEastAsia" w:cstheme="minorHAnsi"/>
                <w:b/>
                <w:bCs/>
                <w:sz w:val="18"/>
                <w:szCs w:val="18"/>
              </w:rPr>
              <w:t>Alignment with APS Culture and Values</w:t>
            </w:r>
          </w:p>
          <w:p w:rsidR="00A3714A" w:rsidRPr="00A3714A" w:rsidRDefault="00A3714A" w:rsidP="004706AC">
            <w:pPr>
              <w:pStyle w:val="ListParagraph"/>
              <w:numPr>
                <w:ilvl w:val="0"/>
                <w:numId w:val="41"/>
              </w:numPr>
              <w:rPr>
                <w:rFonts w:eastAsiaTheme="majorEastAsia" w:cstheme="minorHAnsi"/>
                <w:b/>
                <w:bCs/>
                <w:sz w:val="18"/>
                <w:szCs w:val="18"/>
              </w:rPr>
            </w:pPr>
            <w:r>
              <w:rPr>
                <w:rFonts w:eastAsiaTheme="majorEastAsia" w:cstheme="minorHAnsi"/>
                <w:bCs/>
                <w:sz w:val="18"/>
                <w:szCs w:val="18"/>
              </w:rPr>
              <w:t>Commitment to serve the government of the day</w:t>
            </w:r>
          </w:p>
          <w:p w:rsidR="00A3714A" w:rsidRPr="00A3714A" w:rsidRDefault="00A3714A" w:rsidP="004706AC">
            <w:pPr>
              <w:pStyle w:val="ListParagraph"/>
              <w:numPr>
                <w:ilvl w:val="0"/>
                <w:numId w:val="41"/>
              </w:numPr>
              <w:rPr>
                <w:rFonts w:eastAsiaTheme="majorEastAsia" w:cstheme="minorHAnsi"/>
                <w:b/>
                <w:bCs/>
                <w:sz w:val="18"/>
                <w:szCs w:val="18"/>
              </w:rPr>
            </w:pPr>
            <w:r>
              <w:rPr>
                <w:rFonts w:eastAsiaTheme="majorEastAsia" w:cstheme="minorHAnsi"/>
                <w:bCs/>
                <w:sz w:val="18"/>
                <w:szCs w:val="18"/>
              </w:rPr>
              <w:t>Integrity, role modelling the APS values</w:t>
            </w:r>
          </w:p>
          <w:p w:rsidR="00A3714A" w:rsidRPr="00A3714A" w:rsidRDefault="00A3714A" w:rsidP="004706AC">
            <w:pPr>
              <w:pStyle w:val="ListParagraph"/>
              <w:numPr>
                <w:ilvl w:val="0"/>
                <w:numId w:val="41"/>
              </w:numPr>
              <w:rPr>
                <w:rFonts w:eastAsiaTheme="majorEastAsia" w:cstheme="minorHAnsi"/>
                <w:b/>
                <w:bCs/>
                <w:sz w:val="18"/>
                <w:szCs w:val="18"/>
              </w:rPr>
            </w:pPr>
            <w:r>
              <w:rPr>
                <w:rFonts w:eastAsiaTheme="majorEastAsia" w:cstheme="minorHAnsi"/>
                <w:bCs/>
                <w:sz w:val="18"/>
                <w:szCs w:val="18"/>
              </w:rPr>
              <w:t>Ability to work effectively in the agency and APS context</w:t>
            </w:r>
          </w:p>
          <w:p w:rsidR="00A3714A" w:rsidRPr="00A3714A" w:rsidRDefault="00A3714A" w:rsidP="004706AC">
            <w:pPr>
              <w:pStyle w:val="ListParagraph"/>
              <w:numPr>
                <w:ilvl w:val="0"/>
                <w:numId w:val="41"/>
              </w:numPr>
              <w:rPr>
                <w:rFonts w:eastAsiaTheme="majorEastAsia" w:cstheme="minorHAnsi"/>
                <w:b/>
                <w:bCs/>
                <w:sz w:val="18"/>
                <w:szCs w:val="18"/>
              </w:rPr>
            </w:pPr>
            <w:r>
              <w:rPr>
                <w:rFonts w:eastAsiaTheme="majorEastAsia" w:cstheme="minorHAnsi"/>
                <w:bCs/>
                <w:sz w:val="18"/>
                <w:szCs w:val="18"/>
              </w:rPr>
              <w:t>Personal maturity</w:t>
            </w:r>
          </w:p>
          <w:p w:rsidR="00A3714A" w:rsidRPr="00E2747E" w:rsidRDefault="00A3714A" w:rsidP="004706AC">
            <w:pPr>
              <w:pStyle w:val="ListParagraph"/>
              <w:numPr>
                <w:ilvl w:val="0"/>
                <w:numId w:val="41"/>
              </w:numPr>
              <w:rPr>
                <w:rFonts w:eastAsiaTheme="majorEastAsia" w:cstheme="minorHAnsi"/>
                <w:b/>
                <w:bCs/>
                <w:sz w:val="18"/>
                <w:szCs w:val="18"/>
              </w:rPr>
            </w:pPr>
            <w:r>
              <w:rPr>
                <w:rFonts w:eastAsiaTheme="majorEastAsia" w:cstheme="minorHAnsi"/>
                <w:bCs/>
                <w:sz w:val="18"/>
                <w:szCs w:val="18"/>
              </w:rPr>
              <w:t>Authenticity</w:t>
            </w:r>
          </w:p>
        </w:tc>
        <w:tc>
          <w:tcPr>
            <w:tcW w:w="992" w:type="dxa"/>
          </w:tcPr>
          <w:p w:rsidR="00A3714A" w:rsidRDefault="00A3714A" w:rsidP="004706AC">
            <w:pPr>
              <w:rPr>
                <w:rFonts w:eastAsiaTheme="majorEastAsia" w:cstheme="minorHAnsi"/>
                <w:b/>
                <w:bCs/>
                <w:sz w:val="18"/>
                <w:szCs w:val="18"/>
              </w:rPr>
            </w:pPr>
          </w:p>
        </w:tc>
      </w:tr>
      <w:tr w:rsidR="00A3714A" w:rsidTr="004706AC">
        <w:tc>
          <w:tcPr>
            <w:tcW w:w="9322" w:type="dxa"/>
          </w:tcPr>
          <w:p w:rsidR="00A3714A" w:rsidRDefault="00A3714A" w:rsidP="004706AC">
            <w:pPr>
              <w:rPr>
                <w:rFonts w:eastAsiaTheme="majorEastAsia" w:cstheme="minorHAnsi"/>
                <w:b/>
                <w:bCs/>
                <w:sz w:val="18"/>
                <w:szCs w:val="18"/>
              </w:rPr>
            </w:pPr>
            <w:r>
              <w:rPr>
                <w:rFonts w:eastAsiaTheme="majorEastAsia" w:cstheme="minorHAnsi"/>
                <w:b/>
                <w:bCs/>
                <w:sz w:val="18"/>
                <w:szCs w:val="18"/>
              </w:rPr>
              <w:t>Discretionary Effort</w:t>
            </w:r>
          </w:p>
          <w:p w:rsidR="00A3714A" w:rsidRPr="00E2747E" w:rsidRDefault="00A3714A" w:rsidP="004706AC">
            <w:pPr>
              <w:pStyle w:val="ListParagraph"/>
              <w:numPr>
                <w:ilvl w:val="0"/>
                <w:numId w:val="40"/>
              </w:numPr>
              <w:rPr>
                <w:rFonts w:eastAsiaTheme="majorEastAsia" w:cstheme="minorHAnsi"/>
                <w:b/>
                <w:bCs/>
                <w:sz w:val="18"/>
                <w:szCs w:val="18"/>
              </w:rPr>
            </w:pPr>
            <w:r>
              <w:rPr>
                <w:rFonts w:eastAsiaTheme="majorEastAsia" w:cstheme="minorHAnsi"/>
                <w:bCs/>
                <w:sz w:val="18"/>
                <w:szCs w:val="18"/>
              </w:rPr>
              <w:t>Willingness to go above and beyond expectations to achieve goal</w:t>
            </w:r>
          </w:p>
        </w:tc>
        <w:tc>
          <w:tcPr>
            <w:tcW w:w="992" w:type="dxa"/>
          </w:tcPr>
          <w:p w:rsidR="00A3714A" w:rsidRDefault="00A3714A" w:rsidP="004706AC">
            <w:pPr>
              <w:rPr>
                <w:rFonts w:eastAsiaTheme="majorEastAsia" w:cstheme="minorHAnsi"/>
                <w:b/>
                <w:bCs/>
                <w:sz w:val="18"/>
                <w:szCs w:val="18"/>
              </w:rPr>
            </w:pPr>
          </w:p>
        </w:tc>
      </w:tr>
    </w:tbl>
    <w:p w:rsidR="00A3714A" w:rsidRDefault="00046723">
      <w:pPr>
        <w:rPr>
          <w:rFonts w:eastAsiaTheme="majorEastAsia" w:cstheme="minorHAnsi"/>
          <w:b/>
          <w:bCs/>
          <w:sz w:val="18"/>
          <w:szCs w:val="18"/>
        </w:rPr>
      </w:pPr>
      <w:r>
        <w:rPr>
          <w:rFonts w:eastAsiaTheme="majorEastAsia" w:cstheme="minorHAnsi"/>
          <w:b/>
          <w:bCs/>
          <w:noProof/>
          <w:sz w:val="18"/>
          <w:szCs w:val="18"/>
          <w:lang w:eastAsia="en-AU"/>
        </w:rPr>
        <mc:AlternateContent>
          <mc:Choice Requires="wps">
            <w:drawing>
              <wp:anchor distT="0" distB="0" distL="114300" distR="114300" simplePos="0" relativeHeight="251659264" behindDoc="0" locked="0" layoutInCell="1" allowOverlap="1" wp14:anchorId="18DC99B6" wp14:editId="62019B2E">
                <wp:simplePos x="0" y="0"/>
                <wp:positionH relativeFrom="column">
                  <wp:posOffset>5886450</wp:posOffset>
                </wp:positionH>
                <wp:positionV relativeFrom="paragraph">
                  <wp:posOffset>163195</wp:posOffset>
                </wp:positionV>
                <wp:extent cx="581025" cy="457200"/>
                <wp:effectExtent l="0" t="0" r="28575" b="19050"/>
                <wp:wrapNone/>
                <wp:docPr id="1" name="Rectangle 1" descr="Empty rectangle allowing for completion of average score after the questionnaire has been completed." title="Rectangle"/>
                <wp:cNvGraphicFramePr/>
                <a:graphic xmlns:a="http://schemas.openxmlformats.org/drawingml/2006/main">
                  <a:graphicData uri="http://schemas.microsoft.com/office/word/2010/wordprocessingShape">
                    <wps:wsp>
                      <wps:cNvSpPr/>
                      <wps:spPr>
                        <a:xfrm>
                          <a:off x="0" y="0"/>
                          <a:ext cx="581025"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alt="Title: Rectangle - Description: Empty rectangle allowing for completion of average score after the questionnaire has been completed." style="position:absolute;margin-left:463.5pt;margin-top:12.85pt;width:45.7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" filled="f" strokecolor="black [3213]" strokeweight="2pt"/>
            </w:pict>
          </mc:Fallback>
        </mc:AlternateContent>
      </w:r>
    </w:p>
    <w:p w:rsidR="00A3714A" w:rsidRPr="00046723" w:rsidRDefault="00A3714A" w:rsidP="00046723">
      <w:pPr>
        <w:ind w:right="1252"/>
        <w:jc w:val="right"/>
        <w:rPr>
          <w:rFonts w:eastAsiaTheme="majorEastAsia" w:cstheme="minorHAnsi"/>
          <w:b/>
          <w:bCs/>
        </w:rPr>
      </w:pPr>
      <w:r w:rsidRPr="00046723">
        <w:rPr>
          <w:rFonts w:eastAsiaTheme="majorEastAsia" w:cstheme="minorHAnsi"/>
          <w:b/>
          <w:bCs/>
        </w:rPr>
        <w:t xml:space="preserve">Average Score /5 = </w:t>
      </w:r>
    </w:p>
    <w:tbl>
      <w:tblPr>
        <w:tblStyle w:val="TableGrid"/>
        <w:tblW w:w="0" w:type="auto"/>
        <w:jc w:val="center"/>
        <w:tblLook w:val="04A0" w:firstRow="1" w:lastRow="0" w:firstColumn="1" w:lastColumn="0" w:noHBand="0" w:noVBand="1"/>
        <w:tblCaption w:val="Rating meter"/>
        <w:tblDescription w:val="Table indicating the average ratings to assess potential.  1-2 = low potential, 3 = medium potential and 4-5 = high potential"/>
      </w:tblPr>
      <w:tblGrid>
        <w:gridCol w:w="2268"/>
        <w:gridCol w:w="1701"/>
        <w:gridCol w:w="1701"/>
        <w:gridCol w:w="1418"/>
      </w:tblGrid>
      <w:tr w:rsidR="00A3714A" w:rsidTr="009B3FC4">
        <w:trPr>
          <w:jc w:val="center"/>
        </w:trPr>
        <w:tc>
          <w:tcPr>
            <w:tcW w:w="2268" w:type="dxa"/>
            <w:shd w:val="clear" w:color="auto" w:fill="000000" w:themeFill="text1"/>
          </w:tcPr>
          <w:p w:rsidR="00A3714A" w:rsidRPr="00A3714A" w:rsidRDefault="00A3714A">
            <w:pPr>
              <w:rPr>
                <w:rFonts w:eastAsiaTheme="majorEastAsia" w:cstheme="minorHAnsi"/>
                <w:b/>
                <w:bCs/>
                <w:color w:val="FFFFFF" w:themeColor="background1"/>
                <w:sz w:val="18"/>
                <w:szCs w:val="18"/>
              </w:rPr>
            </w:pPr>
            <w:bookmarkStart w:id="2" w:name="ColumnTitle" w:colFirst="0" w:colLast="0"/>
            <w:r w:rsidRPr="00A3714A">
              <w:rPr>
                <w:rFonts w:eastAsiaTheme="majorEastAsia" w:cstheme="minorHAnsi"/>
                <w:b/>
                <w:bCs/>
                <w:color w:val="FFFFFF" w:themeColor="background1"/>
                <w:sz w:val="18"/>
                <w:szCs w:val="18"/>
              </w:rPr>
              <w:t>Average Rating</w:t>
            </w:r>
          </w:p>
        </w:tc>
        <w:tc>
          <w:tcPr>
            <w:tcW w:w="1701" w:type="dxa"/>
          </w:tcPr>
          <w:p w:rsidR="00A3714A" w:rsidRDefault="00A3714A" w:rsidP="00A3714A">
            <w:pPr>
              <w:jc w:val="center"/>
              <w:rPr>
                <w:rFonts w:eastAsiaTheme="majorEastAsia" w:cstheme="minorHAnsi"/>
                <w:b/>
                <w:bCs/>
                <w:sz w:val="18"/>
                <w:szCs w:val="18"/>
              </w:rPr>
            </w:pPr>
            <w:r>
              <w:rPr>
                <w:rFonts w:eastAsiaTheme="majorEastAsia" w:cstheme="minorHAnsi"/>
                <w:b/>
                <w:bCs/>
                <w:sz w:val="18"/>
                <w:szCs w:val="18"/>
              </w:rPr>
              <w:t>1-2</w:t>
            </w:r>
          </w:p>
        </w:tc>
        <w:tc>
          <w:tcPr>
            <w:tcW w:w="1701" w:type="dxa"/>
          </w:tcPr>
          <w:p w:rsidR="00A3714A" w:rsidRDefault="00A3714A" w:rsidP="00A3714A">
            <w:pPr>
              <w:jc w:val="center"/>
              <w:rPr>
                <w:rFonts w:eastAsiaTheme="majorEastAsia" w:cstheme="minorHAnsi"/>
                <w:b/>
                <w:bCs/>
                <w:sz w:val="18"/>
                <w:szCs w:val="18"/>
              </w:rPr>
            </w:pPr>
            <w:r>
              <w:rPr>
                <w:rFonts w:eastAsiaTheme="majorEastAsia" w:cstheme="minorHAnsi"/>
                <w:b/>
                <w:bCs/>
                <w:sz w:val="18"/>
                <w:szCs w:val="18"/>
              </w:rPr>
              <w:t>3</w:t>
            </w:r>
          </w:p>
        </w:tc>
        <w:tc>
          <w:tcPr>
            <w:tcW w:w="1418" w:type="dxa"/>
            <w:shd w:val="clear" w:color="auto" w:fill="BFBFBF" w:themeFill="background1" w:themeFillShade="BF"/>
          </w:tcPr>
          <w:p w:rsidR="00A3714A" w:rsidRDefault="00A3714A" w:rsidP="00A3714A">
            <w:pPr>
              <w:jc w:val="center"/>
              <w:rPr>
                <w:rFonts w:eastAsiaTheme="majorEastAsia" w:cstheme="minorHAnsi"/>
                <w:b/>
                <w:bCs/>
                <w:sz w:val="18"/>
                <w:szCs w:val="18"/>
              </w:rPr>
            </w:pPr>
            <w:r>
              <w:rPr>
                <w:rFonts w:eastAsiaTheme="majorEastAsia" w:cstheme="minorHAnsi"/>
                <w:b/>
                <w:bCs/>
                <w:sz w:val="18"/>
                <w:szCs w:val="18"/>
              </w:rPr>
              <w:t>4-5</w:t>
            </w:r>
          </w:p>
        </w:tc>
      </w:tr>
      <w:tr w:rsidR="00A3714A" w:rsidTr="009B3FC4">
        <w:trPr>
          <w:jc w:val="center"/>
        </w:trPr>
        <w:tc>
          <w:tcPr>
            <w:tcW w:w="2268" w:type="dxa"/>
            <w:shd w:val="clear" w:color="auto" w:fill="000000" w:themeFill="text1"/>
          </w:tcPr>
          <w:p w:rsidR="00A3714A" w:rsidRPr="00A3714A" w:rsidRDefault="00A3714A">
            <w:pPr>
              <w:rPr>
                <w:rFonts w:eastAsiaTheme="majorEastAsia" w:cstheme="minorHAnsi"/>
                <w:b/>
                <w:bCs/>
                <w:color w:val="FFFFFF" w:themeColor="background1"/>
                <w:sz w:val="18"/>
                <w:szCs w:val="18"/>
              </w:rPr>
            </w:pPr>
            <w:r w:rsidRPr="00A3714A">
              <w:rPr>
                <w:rFonts w:eastAsiaTheme="majorEastAsia" w:cstheme="minorHAnsi"/>
                <w:b/>
                <w:bCs/>
                <w:color w:val="FFFFFF" w:themeColor="background1"/>
                <w:sz w:val="18"/>
                <w:szCs w:val="18"/>
              </w:rPr>
              <w:t>Assessment of Potential</w:t>
            </w:r>
          </w:p>
        </w:tc>
        <w:tc>
          <w:tcPr>
            <w:tcW w:w="1701" w:type="dxa"/>
          </w:tcPr>
          <w:p w:rsidR="00A3714A" w:rsidRDefault="00A3714A" w:rsidP="00A3714A">
            <w:pPr>
              <w:jc w:val="center"/>
              <w:rPr>
                <w:rFonts w:eastAsiaTheme="majorEastAsia" w:cstheme="minorHAnsi"/>
                <w:b/>
                <w:bCs/>
                <w:sz w:val="18"/>
                <w:szCs w:val="18"/>
              </w:rPr>
            </w:pPr>
            <w:r>
              <w:rPr>
                <w:rFonts w:eastAsiaTheme="majorEastAsia" w:cstheme="minorHAnsi"/>
                <w:b/>
                <w:bCs/>
                <w:sz w:val="18"/>
                <w:szCs w:val="18"/>
              </w:rPr>
              <w:t>Low Potential</w:t>
            </w:r>
          </w:p>
        </w:tc>
        <w:tc>
          <w:tcPr>
            <w:tcW w:w="1701" w:type="dxa"/>
          </w:tcPr>
          <w:p w:rsidR="00A3714A" w:rsidRDefault="00A3714A" w:rsidP="00A3714A">
            <w:pPr>
              <w:jc w:val="center"/>
              <w:rPr>
                <w:rFonts w:eastAsiaTheme="majorEastAsia" w:cstheme="minorHAnsi"/>
                <w:b/>
                <w:bCs/>
                <w:sz w:val="18"/>
                <w:szCs w:val="18"/>
              </w:rPr>
            </w:pPr>
            <w:r>
              <w:rPr>
                <w:rFonts w:eastAsiaTheme="majorEastAsia" w:cstheme="minorHAnsi"/>
                <w:b/>
                <w:bCs/>
                <w:sz w:val="18"/>
                <w:szCs w:val="18"/>
              </w:rPr>
              <w:t>Medium Potential</w:t>
            </w:r>
          </w:p>
        </w:tc>
        <w:tc>
          <w:tcPr>
            <w:tcW w:w="1418" w:type="dxa"/>
            <w:shd w:val="clear" w:color="auto" w:fill="BFBFBF" w:themeFill="background1" w:themeFillShade="BF"/>
          </w:tcPr>
          <w:p w:rsidR="00A3714A" w:rsidRDefault="00A3714A" w:rsidP="00A3714A">
            <w:pPr>
              <w:jc w:val="center"/>
              <w:rPr>
                <w:rFonts w:eastAsiaTheme="majorEastAsia" w:cstheme="minorHAnsi"/>
                <w:b/>
                <w:bCs/>
                <w:sz w:val="18"/>
                <w:szCs w:val="18"/>
              </w:rPr>
            </w:pPr>
            <w:r>
              <w:rPr>
                <w:rFonts w:eastAsiaTheme="majorEastAsia" w:cstheme="minorHAnsi"/>
                <w:b/>
                <w:bCs/>
                <w:sz w:val="18"/>
                <w:szCs w:val="18"/>
              </w:rPr>
              <w:t>High Potential</w:t>
            </w:r>
          </w:p>
        </w:tc>
      </w:tr>
      <w:bookmarkEnd w:id="2"/>
    </w:tbl>
    <w:p w:rsidR="00A3714A" w:rsidRDefault="00A3714A">
      <w:pPr>
        <w:rPr>
          <w:rFonts w:eastAsiaTheme="majorEastAsia" w:cstheme="minorHAnsi"/>
          <w:b/>
          <w:bCs/>
          <w:sz w:val="18"/>
          <w:szCs w:val="18"/>
        </w:rPr>
      </w:pPr>
    </w:p>
    <w:p w:rsidR="00E2747E" w:rsidRDefault="00E2747E">
      <w:pPr>
        <w:rPr>
          <w:rFonts w:eastAsiaTheme="majorEastAsia" w:cstheme="minorHAnsi"/>
          <w:b/>
          <w:bCs/>
          <w:sz w:val="18"/>
          <w:szCs w:val="18"/>
        </w:rPr>
      </w:pPr>
    </w:p>
    <w:bookmarkEnd w:id="1"/>
    <w:sectPr w:rsidR="00E2747E" w:rsidSect="00C91120">
      <w:headerReference w:type="default" r:id="rId16"/>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535" w:rsidRDefault="006B5535" w:rsidP="000C777E">
      <w:pPr>
        <w:spacing w:after="0" w:line="240" w:lineRule="auto"/>
      </w:pPr>
      <w:r>
        <w:separator/>
      </w:r>
    </w:p>
  </w:endnote>
  <w:endnote w:type="continuationSeparator" w:id="0">
    <w:p w:rsidR="006B5535" w:rsidRDefault="006B5535" w:rsidP="000C7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535" w:rsidRDefault="006B5535" w:rsidP="000C777E">
      <w:pPr>
        <w:spacing w:after="0" w:line="240" w:lineRule="auto"/>
      </w:pPr>
      <w:r>
        <w:separator/>
      </w:r>
    </w:p>
  </w:footnote>
  <w:footnote w:type="continuationSeparator" w:id="0">
    <w:p w:rsidR="006B5535" w:rsidRDefault="006B5535" w:rsidP="000C777E">
      <w:pPr>
        <w:spacing w:after="0" w:line="240" w:lineRule="auto"/>
      </w:pPr>
      <w:r>
        <w:continuationSeparator/>
      </w:r>
    </w:p>
  </w:footnote>
  <w:footnote w:id="1">
    <w:p w:rsidR="00B42CF1" w:rsidRDefault="00B42CF1">
      <w:pPr>
        <w:pStyle w:val="FootnoteText"/>
      </w:pPr>
      <w:r w:rsidRPr="008830A7">
        <w:rPr>
          <w:rStyle w:val="FootnoteReference"/>
          <w:color w:val="FF0000"/>
        </w:rPr>
        <w:footnoteRef/>
      </w:r>
      <w:r w:rsidRPr="008830A7">
        <w:rPr>
          <w:color w:val="FF0000"/>
        </w:rPr>
        <w:t xml:space="preserve"> </w:t>
      </w:r>
      <w:proofErr w:type="spellStart"/>
      <w:r w:rsidR="008830A7" w:rsidRPr="008830A7">
        <w:rPr>
          <w:color w:val="FF0000"/>
        </w:rPr>
        <w:t>CEB</w:t>
      </w:r>
      <w:proofErr w:type="spellEnd"/>
      <w:r w:rsidR="008830A7" w:rsidRPr="008830A7">
        <w:rPr>
          <w:color w:val="FF0000"/>
        </w:rPr>
        <w:t>,</w:t>
      </w:r>
      <w:r w:rsidRPr="008830A7">
        <w:rPr>
          <w:color w:val="FF0000"/>
        </w:rPr>
        <w:t xml:space="preserve"> High-Potential E</w:t>
      </w:r>
      <w:r w:rsidR="00CE2C94" w:rsidRPr="008830A7">
        <w:rPr>
          <w:color w:val="FF0000"/>
        </w:rPr>
        <w:t>mployee Management Survey,</w:t>
      </w:r>
      <w:r w:rsidR="008830A7" w:rsidRPr="008830A7">
        <w:rPr>
          <w:color w:val="FF0000"/>
        </w:rPr>
        <w:t xml:space="preserve"> Arlington VA,</w:t>
      </w:r>
      <w:r w:rsidR="00CE2C94" w:rsidRPr="008830A7">
        <w:rPr>
          <w:color w:val="FF0000"/>
        </w:rPr>
        <w:t xml:space="preserve">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C94" w:rsidRDefault="00CE2C94">
    <w:pPr>
      <w:pStyle w:val="Header"/>
    </w:pPr>
    <w:r>
      <w:rPr>
        <w:noProof/>
        <w:lang w:eastAsia="en-AU"/>
      </w:rPr>
      <mc:AlternateContent>
        <mc:Choice Requires="wps">
          <w:drawing>
            <wp:anchor distT="0" distB="0" distL="114300" distR="114300" simplePos="0" relativeHeight="251661312" behindDoc="0" locked="0" layoutInCell="1" allowOverlap="1" wp14:anchorId="10A956B7" wp14:editId="4B707077">
              <wp:simplePos x="0" y="0"/>
              <wp:positionH relativeFrom="column">
                <wp:posOffset>571500</wp:posOffset>
              </wp:positionH>
              <wp:positionV relativeFrom="paragraph">
                <wp:posOffset>293370</wp:posOffset>
              </wp:positionV>
              <wp:extent cx="3181350"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18135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2C94" w:rsidRPr="00C91120" w:rsidRDefault="00CE2C94">
                          <w:pPr>
                            <w:rPr>
                              <w:b/>
                              <w:sz w:val="28"/>
                              <w:szCs w:val="28"/>
                            </w:rPr>
                          </w:pPr>
                          <w:r w:rsidRPr="00C91120">
                            <w:rPr>
                              <w:b/>
                              <w:sz w:val="28"/>
                              <w:szCs w:val="28"/>
                            </w:rPr>
                            <w:t>Talent Management Toolkit</w:t>
                          </w:r>
                          <w:r w:rsidRPr="00C91120">
                            <w:rPr>
                              <w:b/>
                              <w:sz w:val="28"/>
                              <w:szCs w:val="28"/>
                            </w:rPr>
                            <w:br/>
                            <w:t>Manager Guide to Identifying Potential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5pt;margin-top:23.1pt;width:250.5pt;height:45.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" filled="f" stroked="f" strokeweight=".5pt">
              <v:textbox>
                <w:txbxContent>
                  <w:p w:rsidR="00CE2C94" w:rsidRPr="00C91120" w:rsidRDefault="00CE2C94">
                    <w:pPr>
                      <w:rPr>
                        <w:b/>
                        <w:sz w:val="28"/>
                        <w:szCs w:val="28"/>
                      </w:rPr>
                    </w:pPr>
                    <w:r w:rsidRPr="00C91120">
                      <w:rPr>
                        <w:b/>
                        <w:sz w:val="28"/>
                        <w:szCs w:val="28"/>
                      </w:rPr>
                      <w:t>Talent Management Toolkit</w:t>
                    </w:r>
                    <w:r w:rsidRPr="00C91120">
                      <w:rPr>
                        <w:b/>
                        <w:sz w:val="28"/>
                        <w:szCs w:val="28"/>
                      </w:rPr>
                      <w:br/>
                      <w:t>Manager Guide to Identifying Potential</w:t>
                    </w:r>
                  </w:p>
                </w:txbxContent>
              </v:textbox>
            </v:shape>
          </w:pict>
        </mc:Fallback>
      </mc:AlternateContent>
    </w:r>
    <w:r>
      <w:rPr>
        <w:noProof/>
        <w:lang w:eastAsia="en-AU"/>
      </w:rPr>
      <w:drawing>
        <wp:inline distT="0" distB="0" distL="0" distR="0" wp14:anchorId="339751BC" wp14:editId="4F275E3B">
          <wp:extent cx="6645910" cy="1113790"/>
          <wp:effectExtent l="0" t="0" r="2540" b="0"/>
          <wp:docPr id="7" name="Picture 7" descr="Image of office scene as header banner with title 'Talent Management Tookit - Manager Guide to Identifying Potentail'" title="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71 Talent management 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5910" cy="11137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120" w:rsidRPr="00A3714A" w:rsidRDefault="00C91120" w:rsidP="00A371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856"/>
    <w:multiLevelType w:val="hybridMultilevel"/>
    <w:tmpl w:val="51523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0468A7"/>
    <w:multiLevelType w:val="hybridMultilevel"/>
    <w:tmpl w:val="1FC89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AE7701"/>
    <w:multiLevelType w:val="hybridMultilevel"/>
    <w:tmpl w:val="508EC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1B5A0D"/>
    <w:multiLevelType w:val="hybridMultilevel"/>
    <w:tmpl w:val="E99CC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092720"/>
    <w:multiLevelType w:val="hybridMultilevel"/>
    <w:tmpl w:val="6BC83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7C80D9C"/>
    <w:multiLevelType w:val="hybridMultilevel"/>
    <w:tmpl w:val="81A29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4F4996"/>
    <w:multiLevelType w:val="hybridMultilevel"/>
    <w:tmpl w:val="71D2E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BC46521"/>
    <w:multiLevelType w:val="hybridMultilevel"/>
    <w:tmpl w:val="F66879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C6764AF"/>
    <w:multiLevelType w:val="hybridMultilevel"/>
    <w:tmpl w:val="A2B6C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122487F"/>
    <w:multiLevelType w:val="hybridMultilevel"/>
    <w:tmpl w:val="DC006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2D8759E"/>
    <w:multiLevelType w:val="hybridMultilevel"/>
    <w:tmpl w:val="96F0E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3593892"/>
    <w:multiLevelType w:val="hybridMultilevel"/>
    <w:tmpl w:val="D30E7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5001E43"/>
    <w:multiLevelType w:val="hybridMultilevel"/>
    <w:tmpl w:val="31B8D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183C68"/>
    <w:multiLevelType w:val="hybridMultilevel"/>
    <w:tmpl w:val="69008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89F17DF"/>
    <w:multiLevelType w:val="hybridMultilevel"/>
    <w:tmpl w:val="F6BAF6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FAE50CC"/>
    <w:multiLevelType w:val="hybridMultilevel"/>
    <w:tmpl w:val="F956F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34C1E22"/>
    <w:multiLevelType w:val="hybridMultilevel"/>
    <w:tmpl w:val="611E1E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4183664"/>
    <w:multiLevelType w:val="hybridMultilevel"/>
    <w:tmpl w:val="A1E44A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5007F3F"/>
    <w:multiLevelType w:val="hybridMultilevel"/>
    <w:tmpl w:val="E9BC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670382B"/>
    <w:multiLevelType w:val="hybridMultilevel"/>
    <w:tmpl w:val="09F08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36CE4E9A"/>
    <w:multiLevelType w:val="hybridMultilevel"/>
    <w:tmpl w:val="3B0CA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BB54EBF"/>
    <w:multiLevelType w:val="hybridMultilevel"/>
    <w:tmpl w:val="7E4EE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EC0800"/>
    <w:multiLevelType w:val="hybridMultilevel"/>
    <w:tmpl w:val="5652E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43854F9"/>
    <w:multiLevelType w:val="hybridMultilevel"/>
    <w:tmpl w:val="35A6A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7C76E34"/>
    <w:multiLevelType w:val="hybridMultilevel"/>
    <w:tmpl w:val="3F527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85B1897"/>
    <w:multiLevelType w:val="hybridMultilevel"/>
    <w:tmpl w:val="FC002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35810A1"/>
    <w:multiLevelType w:val="hybridMultilevel"/>
    <w:tmpl w:val="683C6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9C93AE4"/>
    <w:multiLevelType w:val="hybridMultilevel"/>
    <w:tmpl w:val="E7F43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A1E7876"/>
    <w:multiLevelType w:val="hybridMultilevel"/>
    <w:tmpl w:val="580AE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B534518"/>
    <w:multiLevelType w:val="hybridMultilevel"/>
    <w:tmpl w:val="F1E8E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B5640B6"/>
    <w:multiLevelType w:val="hybridMultilevel"/>
    <w:tmpl w:val="84843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BB5692F"/>
    <w:multiLevelType w:val="hybridMultilevel"/>
    <w:tmpl w:val="E93E8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24C53D3"/>
    <w:multiLevelType w:val="hybridMultilevel"/>
    <w:tmpl w:val="FB72C7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92D28C6"/>
    <w:multiLevelType w:val="hybridMultilevel"/>
    <w:tmpl w:val="D076C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D2021F1"/>
    <w:multiLevelType w:val="hybridMultilevel"/>
    <w:tmpl w:val="B4F479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6FF85BCF"/>
    <w:multiLevelType w:val="hybridMultilevel"/>
    <w:tmpl w:val="DB468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09977B2"/>
    <w:multiLevelType w:val="hybridMultilevel"/>
    <w:tmpl w:val="79CAA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2E04701"/>
    <w:multiLevelType w:val="hybridMultilevel"/>
    <w:tmpl w:val="8C1C8A9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8">
    <w:nsid w:val="76B30211"/>
    <w:multiLevelType w:val="hybridMultilevel"/>
    <w:tmpl w:val="DE18D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DD36BFC"/>
    <w:multiLevelType w:val="hybridMultilevel"/>
    <w:tmpl w:val="DC8A3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FE423C7"/>
    <w:multiLevelType w:val="hybridMultilevel"/>
    <w:tmpl w:val="8B304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3"/>
  </w:num>
  <w:num w:numId="4">
    <w:abstractNumId w:val="39"/>
  </w:num>
  <w:num w:numId="5">
    <w:abstractNumId w:val="12"/>
  </w:num>
  <w:num w:numId="6">
    <w:abstractNumId w:val="27"/>
  </w:num>
  <w:num w:numId="7">
    <w:abstractNumId w:val="11"/>
  </w:num>
  <w:num w:numId="8">
    <w:abstractNumId w:val="29"/>
  </w:num>
  <w:num w:numId="9">
    <w:abstractNumId w:val="31"/>
  </w:num>
  <w:num w:numId="10">
    <w:abstractNumId w:val="35"/>
  </w:num>
  <w:num w:numId="11">
    <w:abstractNumId w:val="40"/>
  </w:num>
  <w:num w:numId="12">
    <w:abstractNumId w:val="37"/>
  </w:num>
  <w:num w:numId="13">
    <w:abstractNumId w:val="25"/>
  </w:num>
  <w:num w:numId="14">
    <w:abstractNumId w:val="33"/>
  </w:num>
  <w:num w:numId="15">
    <w:abstractNumId w:val="8"/>
  </w:num>
  <w:num w:numId="16">
    <w:abstractNumId w:val="36"/>
  </w:num>
  <w:num w:numId="17">
    <w:abstractNumId w:val="6"/>
  </w:num>
  <w:num w:numId="18">
    <w:abstractNumId w:val="2"/>
  </w:num>
  <w:num w:numId="19">
    <w:abstractNumId w:val="24"/>
  </w:num>
  <w:num w:numId="20">
    <w:abstractNumId w:val="9"/>
  </w:num>
  <w:num w:numId="21">
    <w:abstractNumId w:val="21"/>
  </w:num>
  <w:num w:numId="22">
    <w:abstractNumId w:val="16"/>
  </w:num>
  <w:num w:numId="23">
    <w:abstractNumId w:val="7"/>
  </w:num>
  <w:num w:numId="24">
    <w:abstractNumId w:val="17"/>
  </w:num>
  <w:num w:numId="25">
    <w:abstractNumId w:val="4"/>
  </w:num>
  <w:num w:numId="26">
    <w:abstractNumId w:val="32"/>
  </w:num>
  <w:num w:numId="27">
    <w:abstractNumId w:val="19"/>
  </w:num>
  <w:num w:numId="28">
    <w:abstractNumId w:val="14"/>
  </w:num>
  <w:num w:numId="29">
    <w:abstractNumId w:val="23"/>
  </w:num>
  <w:num w:numId="30">
    <w:abstractNumId w:val="34"/>
  </w:num>
  <w:num w:numId="31">
    <w:abstractNumId w:val="13"/>
  </w:num>
  <w:num w:numId="32">
    <w:abstractNumId w:val="10"/>
  </w:num>
  <w:num w:numId="33">
    <w:abstractNumId w:val="22"/>
  </w:num>
  <w:num w:numId="34">
    <w:abstractNumId w:val="30"/>
  </w:num>
  <w:num w:numId="35">
    <w:abstractNumId w:val="1"/>
  </w:num>
  <w:num w:numId="36">
    <w:abstractNumId w:val="5"/>
  </w:num>
  <w:num w:numId="37">
    <w:abstractNumId w:val="15"/>
  </w:num>
  <w:num w:numId="38">
    <w:abstractNumId w:val="26"/>
  </w:num>
  <w:num w:numId="39">
    <w:abstractNumId w:val="20"/>
  </w:num>
  <w:num w:numId="40">
    <w:abstractNumId w:val="18"/>
  </w:num>
  <w:num w:numId="41">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hony Ball">
    <w15:presenceInfo w15:providerId="AD" w15:userId="S-1-5-21-1057377425-840985600-1244552217-11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E59"/>
    <w:rsid w:val="00004B3E"/>
    <w:rsid w:val="00016FCE"/>
    <w:rsid w:val="00025DB7"/>
    <w:rsid w:val="00027A09"/>
    <w:rsid w:val="00032964"/>
    <w:rsid w:val="00033171"/>
    <w:rsid w:val="00046723"/>
    <w:rsid w:val="000A6E94"/>
    <w:rsid w:val="000C1E8F"/>
    <w:rsid w:val="000C777E"/>
    <w:rsid w:val="00105D9B"/>
    <w:rsid w:val="001B2652"/>
    <w:rsid w:val="00236059"/>
    <w:rsid w:val="00275AA3"/>
    <w:rsid w:val="002A029A"/>
    <w:rsid w:val="002D09C1"/>
    <w:rsid w:val="002D1B6C"/>
    <w:rsid w:val="00332B78"/>
    <w:rsid w:val="00342251"/>
    <w:rsid w:val="00366005"/>
    <w:rsid w:val="00381446"/>
    <w:rsid w:val="00414BE2"/>
    <w:rsid w:val="00497AB5"/>
    <w:rsid w:val="004F5AE4"/>
    <w:rsid w:val="005004FB"/>
    <w:rsid w:val="005308F6"/>
    <w:rsid w:val="005737C4"/>
    <w:rsid w:val="005940AF"/>
    <w:rsid w:val="005C6E16"/>
    <w:rsid w:val="005D1ACE"/>
    <w:rsid w:val="006711B2"/>
    <w:rsid w:val="006977C0"/>
    <w:rsid w:val="006A5F21"/>
    <w:rsid w:val="006B5535"/>
    <w:rsid w:val="006B6381"/>
    <w:rsid w:val="006C277C"/>
    <w:rsid w:val="00745AF2"/>
    <w:rsid w:val="00750219"/>
    <w:rsid w:val="007F6CD5"/>
    <w:rsid w:val="008012E9"/>
    <w:rsid w:val="00815661"/>
    <w:rsid w:val="00831987"/>
    <w:rsid w:val="00856A17"/>
    <w:rsid w:val="00872025"/>
    <w:rsid w:val="008830A7"/>
    <w:rsid w:val="008A0F90"/>
    <w:rsid w:val="008B6DC0"/>
    <w:rsid w:val="008D5FFC"/>
    <w:rsid w:val="008E2B12"/>
    <w:rsid w:val="008F7D58"/>
    <w:rsid w:val="00902576"/>
    <w:rsid w:val="00983228"/>
    <w:rsid w:val="0099409B"/>
    <w:rsid w:val="009B3FC4"/>
    <w:rsid w:val="009F7794"/>
    <w:rsid w:val="00A154B7"/>
    <w:rsid w:val="00A3714A"/>
    <w:rsid w:val="00A63318"/>
    <w:rsid w:val="00A8455D"/>
    <w:rsid w:val="00AA24C9"/>
    <w:rsid w:val="00AC572E"/>
    <w:rsid w:val="00B42CF1"/>
    <w:rsid w:val="00B57318"/>
    <w:rsid w:val="00B82F1B"/>
    <w:rsid w:val="00BB07A0"/>
    <w:rsid w:val="00BF3897"/>
    <w:rsid w:val="00BF4621"/>
    <w:rsid w:val="00C2150B"/>
    <w:rsid w:val="00C46744"/>
    <w:rsid w:val="00C72F04"/>
    <w:rsid w:val="00C91120"/>
    <w:rsid w:val="00CE2C94"/>
    <w:rsid w:val="00D178D3"/>
    <w:rsid w:val="00D42E56"/>
    <w:rsid w:val="00DA7B46"/>
    <w:rsid w:val="00DC0E59"/>
    <w:rsid w:val="00DD0073"/>
    <w:rsid w:val="00E2747E"/>
    <w:rsid w:val="00E36432"/>
    <w:rsid w:val="00E60FE6"/>
    <w:rsid w:val="00FA6068"/>
    <w:rsid w:val="00FA73C0"/>
    <w:rsid w:val="00FC4286"/>
    <w:rsid w:val="00FE2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0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E59"/>
    <w:rPr>
      <w:rFonts w:ascii="Tahoma" w:hAnsi="Tahoma" w:cs="Tahoma"/>
      <w:sz w:val="16"/>
      <w:szCs w:val="16"/>
    </w:rPr>
  </w:style>
  <w:style w:type="table" w:styleId="TableGrid">
    <w:name w:val="Table Grid"/>
    <w:basedOn w:val="TableNormal"/>
    <w:rsid w:val="00801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7C4"/>
    <w:pPr>
      <w:ind w:left="720"/>
      <w:contextualSpacing/>
    </w:pPr>
  </w:style>
  <w:style w:type="character" w:styleId="CommentReference">
    <w:name w:val="annotation reference"/>
    <w:basedOn w:val="DefaultParagraphFont"/>
    <w:uiPriority w:val="99"/>
    <w:semiHidden/>
    <w:unhideWhenUsed/>
    <w:rsid w:val="00B82F1B"/>
    <w:rPr>
      <w:sz w:val="16"/>
      <w:szCs w:val="16"/>
    </w:rPr>
  </w:style>
  <w:style w:type="paragraph" w:styleId="CommentText">
    <w:name w:val="annotation text"/>
    <w:basedOn w:val="Normal"/>
    <w:link w:val="CommentTextChar"/>
    <w:uiPriority w:val="99"/>
    <w:semiHidden/>
    <w:unhideWhenUsed/>
    <w:rsid w:val="00B82F1B"/>
    <w:pPr>
      <w:spacing w:line="240" w:lineRule="auto"/>
    </w:pPr>
    <w:rPr>
      <w:sz w:val="20"/>
      <w:szCs w:val="20"/>
    </w:rPr>
  </w:style>
  <w:style w:type="character" w:customStyle="1" w:styleId="CommentTextChar">
    <w:name w:val="Comment Text Char"/>
    <w:basedOn w:val="DefaultParagraphFont"/>
    <w:link w:val="CommentText"/>
    <w:uiPriority w:val="99"/>
    <w:semiHidden/>
    <w:rsid w:val="00B82F1B"/>
    <w:rPr>
      <w:sz w:val="20"/>
      <w:szCs w:val="20"/>
    </w:rPr>
  </w:style>
  <w:style w:type="paragraph" w:styleId="CommentSubject">
    <w:name w:val="annotation subject"/>
    <w:basedOn w:val="CommentText"/>
    <w:next w:val="CommentText"/>
    <w:link w:val="CommentSubjectChar"/>
    <w:uiPriority w:val="99"/>
    <w:semiHidden/>
    <w:unhideWhenUsed/>
    <w:rsid w:val="00B82F1B"/>
    <w:rPr>
      <w:b/>
      <w:bCs/>
    </w:rPr>
  </w:style>
  <w:style w:type="character" w:customStyle="1" w:styleId="CommentSubjectChar">
    <w:name w:val="Comment Subject Char"/>
    <w:basedOn w:val="CommentTextChar"/>
    <w:link w:val="CommentSubject"/>
    <w:uiPriority w:val="99"/>
    <w:semiHidden/>
    <w:rsid w:val="00B82F1B"/>
    <w:rPr>
      <w:b/>
      <w:bCs/>
      <w:sz w:val="20"/>
      <w:szCs w:val="20"/>
    </w:rPr>
  </w:style>
  <w:style w:type="table" w:customStyle="1" w:styleId="GridTable4-Accent11">
    <w:name w:val="Grid Table 4 - Accent 11"/>
    <w:basedOn w:val="TableNormal"/>
    <w:uiPriority w:val="49"/>
    <w:rsid w:val="00016FC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noteText">
    <w:name w:val="footnote text"/>
    <w:basedOn w:val="Normal"/>
    <w:link w:val="FootnoteTextChar"/>
    <w:uiPriority w:val="99"/>
    <w:semiHidden/>
    <w:unhideWhenUsed/>
    <w:rsid w:val="000C77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77E"/>
    <w:rPr>
      <w:sz w:val="20"/>
      <w:szCs w:val="20"/>
    </w:rPr>
  </w:style>
  <w:style w:type="character" w:styleId="FootnoteReference">
    <w:name w:val="footnote reference"/>
    <w:basedOn w:val="DefaultParagraphFont"/>
    <w:uiPriority w:val="99"/>
    <w:semiHidden/>
    <w:unhideWhenUsed/>
    <w:rsid w:val="000C777E"/>
    <w:rPr>
      <w:vertAlign w:val="superscript"/>
    </w:rPr>
  </w:style>
  <w:style w:type="table" w:customStyle="1" w:styleId="TableGrid1">
    <w:name w:val="Table Grid1"/>
    <w:basedOn w:val="TableNormal"/>
    <w:next w:val="TableGrid"/>
    <w:rsid w:val="00994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1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120"/>
  </w:style>
  <w:style w:type="paragraph" w:styleId="Footer">
    <w:name w:val="footer"/>
    <w:basedOn w:val="Normal"/>
    <w:link w:val="FooterChar"/>
    <w:uiPriority w:val="99"/>
    <w:unhideWhenUsed/>
    <w:rsid w:val="00C91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120"/>
  </w:style>
  <w:style w:type="character" w:styleId="Hyperlink">
    <w:name w:val="Hyperlink"/>
    <w:basedOn w:val="DefaultParagraphFont"/>
    <w:uiPriority w:val="99"/>
    <w:unhideWhenUsed/>
    <w:qFormat/>
    <w:rsid w:val="00CE2C94"/>
    <w:rPr>
      <w:rFonts w:asciiTheme="minorHAnsi" w:hAnsiTheme="minorHAnsi"/>
      <w:b/>
      <w:bCs/>
      <w:color w:val="365F91" w:themeColor="accent1" w:themeShade="BF"/>
      <w:u w:val="single"/>
    </w:rPr>
  </w:style>
  <w:style w:type="paragraph" w:styleId="NormalWeb">
    <w:name w:val="Normal (Web)"/>
    <w:basedOn w:val="Normal"/>
    <w:uiPriority w:val="99"/>
    <w:unhideWhenUsed/>
    <w:rsid w:val="00CE2C94"/>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0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E59"/>
    <w:rPr>
      <w:rFonts w:ascii="Tahoma" w:hAnsi="Tahoma" w:cs="Tahoma"/>
      <w:sz w:val="16"/>
      <w:szCs w:val="16"/>
    </w:rPr>
  </w:style>
  <w:style w:type="table" w:styleId="TableGrid">
    <w:name w:val="Table Grid"/>
    <w:basedOn w:val="TableNormal"/>
    <w:rsid w:val="00801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7C4"/>
    <w:pPr>
      <w:ind w:left="720"/>
      <w:contextualSpacing/>
    </w:pPr>
  </w:style>
  <w:style w:type="character" w:styleId="CommentReference">
    <w:name w:val="annotation reference"/>
    <w:basedOn w:val="DefaultParagraphFont"/>
    <w:uiPriority w:val="99"/>
    <w:semiHidden/>
    <w:unhideWhenUsed/>
    <w:rsid w:val="00B82F1B"/>
    <w:rPr>
      <w:sz w:val="16"/>
      <w:szCs w:val="16"/>
    </w:rPr>
  </w:style>
  <w:style w:type="paragraph" w:styleId="CommentText">
    <w:name w:val="annotation text"/>
    <w:basedOn w:val="Normal"/>
    <w:link w:val="CommentTextChar"/>
    <w:uiPriority w:val="99"/>
    <w:semiHidden/>
    <w:unhideWhenUsed/>
    <w:rsid w:val="00B82F1B"/>
    <w:pPr>
      <w:spacing w:line="240" w:lineRule="auto"/>
    </w:pPr>
    <w:rPr>
      <w:sz w:val="20"/>
      <w:szCs w:val="20"/>
    </w:rPr>
  </w:style>
  <w:style w:type="character" w:customStyle="1" w:styleId="CommentTextChar">
    <w:name w:val="Comment Text Char"/>
    <w:basedOn w:val="DefaultParagraphFont"/>
    <w:link w:val="CommentText"/>
    <w:uiPriority w:val="99"/>
    <w:semiHidden/>
    <w:rsid w:val="00B82F1B"/>
    <w:rPr>
      <w:sz w:val="20"/>
      <w:szCs w:val="20"/>
    </w:rPr>
  </w:style>
  <w:style w:type="paragraph" w:styleId="CommentSubject">
    <w:name w:val="annotation subject"/>
    <w:basedOn w:val="CommentText"/>
    <w:next w:val="CommentText"/>
    <w:link w:val="CommentSubjectChar"/>
    <w:uiPriority w:val="99"/>
    <w:semiHidden/>
    <w:unhideWhenUsed/>
    <w:rsid w:val="00B82F1B"/>
    <w:rPr>
      <w:b/>
      <w:bCs/>
    </w:rPr>
  </w:style>
  <w:style w:type="character" w:customStyle="1" w:styleId="CommentSubjectChar">
    <w:name w:val="Comment Subject Char"/>
    <w:basedOn w:val="CommentTextChar"/>
    <w:link w:val="CommentSubject"/>
    <w:uiPriority w:val="99"/>
    <w:semiHidden/>
    <w:rsid w:val="00B82F1B"/>
    <w:rPr>
      <w:b/>
      <w:bCs/>
      <w:sz w:val="20"/>
      <w:szCs w:val="20"/>
    </w:rPr>
  </w:style>
  <w:style w:type="table" w:customStyle="1" w:styleId="GridTable4-Accent11">
    <w:name w:val="Grid Table 4 - Accent 11"/>
    <w:basedOn w:val="TableNormal"/>
    <w:uiPriority w:val="49"/>
    <w:rsid w:val="00016FC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noteText">
    <w:name w:val="footnote text"/>
    <w:basedOn w:val="Normal"/>
    <w:link w:val="FootnoteTextChar"/>
    <w:uiPriority w:val="99"/>
    <w:semiHidden/>
    <w:unhideWhenUsed/>
    <w:rsid w:val="000C77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77E"/>
    <w:rPr>
      <w:sz w:val="20"/>
      <w:szCs w:val="20"/>
    </w:rPr>
  </w:style>
  <w:style w:type="character" w:styleId="FootnoteReference">
    <w:name w:val="footnote reference"/>
    <w:basedOn w:val="DefaultParagraphFont"/>
    <w:uiPriority w:val="99"/>
    <w:semiHidden/>
    <w:unhideWhenUsed/>
    <w:rsid w:val="000C777E"/>
    <w:rPr>
      <w:vertAlign w:val="superscript"/>
    </w:rPr>
  </w:style>
  <w:style w:type="table" w:customStyle="1" w:styleId="TableGrid1">
    <w:name w:val="Table Grid1"/>
    <w:basedOn w:val="TableNormal"/>
    <w:next w:val="TableGrid"/>
    <w:rsid w:val="00994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1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120"/>
  </w:style>
  <w:style w:type="paragraph" w:styleId="Footer">
    <w:name w:val="footer"/>
    <w:basedOn w:val="Normal"/>
    <w:link w:val="FooterChar"/>
    <w:uiPriority w:val="99"/>
    <w:unhideWhenUsed/>
    <w:rsid w:val="00C91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120"/>
  </w:style>
  <w:style w:type="character" w:styleId="Hyperlink">
    <w:name w:val="Hyperlink"/>
    <w:basedOn w:val="DefaultParagraphFont"/>
    <w:uiPriority w:val="99"/>
    <w:unhideWhenUsed/>
    <w:qFormat/>
    <w:rsid w:val="00CE2C94"/>
    <w:rPr>
      <w:rFonts w:asciiTheme="minorHAnsi" w:hAnsiTheme="minorHAnsi"/>
      <w:b/>
      <w:bCs/>
      <w:color w:val="365F91" w:themeColor="accent1" w:themeShade="BF"/>
      <w:u w:val="single"/>
    </w:rPr>
  </w:style>
  <w:style w:type="paragraph" w:styleId="NormalWeb">
    <w:name w:val="Normal (Web)"/>
    <w:basedOn w:val="Normal"/>
    <w:uiPriority w:val="99"/>
    <w:unhideWhenUsed/>
    <w:rsid w:val="00CE2C94"/>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sc.gov.au/publications-and-media/current-publications/talent-management-guide/supporting-guidance/aps-framework-for-high-potentialhttp:/www.apsc.gov.au/publications-and-media/current-publications/talent-management-guide/supporting-guidance/aps-framework-for-high-potenti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mmunications@apsc.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nc-nd/4.0/legalcod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BE642-3AA9-4742-8B98-F06D28E63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4AE8D10.dotm</Template>
  <TotalTime>4</TotalTime>
  <Pages>4</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guide to identifying potential</dc:title>
  <dc:subject>talent management toolkit</dc:subject>
  <dc:creator>Australian Public Service Commission</dc:creator>
  <cp:lastModifiedBy>Andrew Glenn</cp:lastModifiedBy>
  <cp:revision>5</cp:revision>
  <cp:lastPrinted>2015-08-19T07:20:00Z</cp:lastPrinted>
  <dcterms:created xsi:type="dcterms:W3CDTF">2015-09-11T01:40:00Z</dcterms:created>
  <dcterms:modified xsi:type="dcterms:W3CDTF">2015-09-17T23:33:00Z</dcterms:modified>
</cp:coreProperties>
</file>