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36E" w:rsidRDefault="00B3736E">
      <w:pPr>
        <w:rPr>
          <w:noProof/>
          <w:lang w:eastAsia="en-AU"/>
        </w:rPr>
      </w:pPr>
      <w:bookmarkStart w:id="0" w:name="_GoBack"/>
      <w:r>
        <w:rPr>
          <w:noProof/>
          <w:lang w:eastAsia="en-AU"/>
        </w:rPr>
        <w:drawing>
          <wp:anchor distT="0" distB="0" distL="114300" distR="114300" simplePos="0" relativeHeight="251658240" behindDoc="0" locked="0" layoutInCell="1" allowOverlap="1" wp14:anchorId="15351C69" wp14:editId="318FA0CB">
            <wp:simplePos x="0" y="0"/>
            <wp:positionH relativeFrom="page">
              <wp:posOffset>616</wp:posOffset>
            </wp:positionH>
            <wp:positionV relativeFrom="page">
              <wp:posOffset>0</wp:posOffset>
            </wp:positionV>
            <wp:extent cx="7558768" cy="10692000"/>
            <wp:effectExtent l="0" t="0" r="4445" b="0"/>
            <wp:wrapNone/>
            <wp:docPr id="9" name="Picture 9" title="Cover: Framework for high pot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71 Talent management cover APS framewo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bookmarkEnd w:id="0"/>
      <w:r>
        <w:rPr>
          <w:noProof/>
          <w:lang w:eastAsia="en-AU"/>
        </w:rPr>
        <w:br w:type="page"/>
      </w:r>
    </w:p>
    <w:p w:rsidR="00474F20" w:rsidRDefault="00474F20" w:rsidP="009C4BA9">
      <w:pPr>
        <w:ind w:left="426"/>
        <w:jc w:val="center"/>
        <w:rPr>
          <w:noProof/>
          <w:lang w:eastAsia="en-AU"/>
        </w:rPr>
      </w:pPr>
    </w:p>
    <w:p w:rsidR="008F0795" w:rsidRPr="00254ED2" w:rsidRDefault="009C4BA9" w:rsidP="009C4BA9">
      <w:pPr>
        <w:rPr>
          <w:rFonts w:cstheme="minorHAnsi"/>
          <w:b/>
          <w:bCs/>
          <w:lang w:val="en-US"/>
        </w:rPr>
      </w:pPr>
      <w:r w:rsidRPr="00254ED2">
        <w:rPr>
          <w:rFonts w:cstheme="minorHAnsi"/>
          <w:b/>
          <w:bCs/>
          <w:lang w:val="en-US"/>
        </w:rPr>
        <w:t xml:space="preserve">© </w:t>
      </w:r>
      <w:r w:rsidR="008F0795" w:rsidRPr="00254ED2">
        <w:rPr>
          <w:rFonts w:cstheme="minorHAnsi"/>
          <w:b/>
          <w:bCs/>
          <w:lang w:val="en-US"/>
        </w:rPr>
        <w:t xml:space="preserve">Commonwealth of Australia </w:t>
      </w:r>
      <w:r w:rsidR="008F0795">
        <w:rPr>
          <w:rFonts w:cstheme="minorHAnsi"/>
          <w:b/>
          <w:bCs/>
          <w:lang w:val="en-US"/>
        </w:rPr>
        <w:t>January 2015</w:t>
      </w:r>
      <w:r>
        <w:rPr>
          <w:rFonts w:cstheme="minorHAnsi"/>
          <w:b/>
          <w:bCs/>
          <w:lang w:val="en-US"/>
        </w:rPr>
        <w:t xml:space="preserve"> </w:t>
      </w:r>
    </w:p>
    <w:p w:rsidR="008F0795" w:rsidRDefault="008F0795" w:rsidP="008F0795">
      <w:r>
        <w:t xml:space="preserve">All material produced by the Australian Public Service Commission (the Commission), constitutes Commonwealth copyright administered by the Commission. The Commission reserves the right to set out the terms and conditions for the use of such material. </w:t>
      </w:r>
    </w:p>
    <w:p w:rsidR="008F0795" w:rsidRDefault="008F0795" w:rsidP="008F0795">
      <w:r>
        <w:t>Apart from any use permitted under the Copyright Act 1968, and those explicitly granted herein, all other rights are reserved.</w:t>
      </w:r>
    </w:p>
    <w:p w:rsidR="008F0795" w:rsidRPr="00E942B3" w:rsidRDefault="008F0795" w:rsidP="008F0795">
      <w:r w:rsidRPr="00E942B3">
        <w:t>Unless otherwise noted, all material in this publication, except the Commission logo or badge, the Commonwealth Coat of Arms, and any material protected by a trademark is licensed under the Creative Commons BY NC ND Attribution Non-Commercial Use No Derivatives 4.0 Australia Licence.</w:t>
      </w:r>
      <w:r>
        <w:t xml:space="preserve"> </w:t>
      </w:r>
    </w:p>
    <w:p w:rsidR="008F0795" w:rsidRDefault="008F0795" w:rsidP="008F0795">
      <w:r>
        <w:rPr>
          <w:noProof/>
          <w:lang w:eastAsia="en-AU"/>
        </w:rPr>
        <w:drawing>
          <wp:inline distT="0" distB="0" distL="0" distR="0" wp14:anchorId="79E37313" wp14:editId="25C2AB59">
            <wp:extent cx="835660" cy="292735"/>
            <wp:effectExtent l="0" t="0" r="2540" b="0"/>
            <wp:docPr id="7" name="Picture 7" descr="Licensed under the Creative Commons BY NC ND Attribution Non-Commercial Use No Derivatives 4.0 Australia Licence." title="Creative commons "/>
            <wp:cNvGraphicFramePr/>
            <a:graphic xmlns:a="http://schemas.openxmlformats.org/drawingml/2006/main">
              <a:graphicData uri="http://schemas.openxmlformats.org/drawingml/2006/picture">
                <pic:pic xmlns:pic="http://schemas.openxmlformats.org/drawingml/2006/picture">
                  <pic:nvPicPr>
                    <pic:cNvPr id="2" name="Picture 2" descr="J:\Desktop\cc.bmp"/>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660" cy="292735"/>
                    </a:xfrm>
                    <a:prstGeom prst="rect">
                      <a:avLst/>
                    </a:prstGeom>
                    <a:noFill/>
                    <a:ln>
                      <a:noFill/>
                    </a:ln>
                  </pic:spPr>
                </pic:pic>
              </a:graphicData>
            </a:graphic>
          </wp:inline>
        </w:drawing>
      </w:r>
    </w:p>
    <w:p w:rsidR="008F0795" w:rsidRDefault="008F0795" w:rsidP="008F0795">
      <w:r>
        <w:t>Details of this licence are available at: &lt;</w:t>
      </w:r>
      <w:hyperlink r:id="rId10" w:history="1">
        <w:r w:rsidRPr="009371C6">
          <w:rPr>
            <w:rStyle w:val="Hyperlink"/>
          </w:rPr>
          <w:t>http://creativecommons.org/licenses/by-nc-nd/4.0/legalcode</w:t>
        </w:r>
      </w:hyperlink>
      <w:r>
        <w:rPr>
          <w:rStyle w:val="Hyperlink"/>
        </w:rPr>
        <w:t>&gt;</w:t>
      </w:r>
    </w:p>
    <w:p w:rsidR="008F0795" w:rsidRPr="00E942B3" w:rsidRDefault="008F0795" w:rsidP="008F0795">
      <w:pPr>
        <w:rPr>
          <w:b/>
        </w:rPr>
      </w:pPr>
      <w:r>
        <w:rPr>
          <w:b/>
        </w:rPr>
        <w:t>Attributing Commission works</w:t>
      </w:r>
    </w:p>
    <w:p w:rsidR="008F0795" w:rsidRDefault="008F0795" w:rsidP="008F0795">
      <w:r>
        <w:t>Use of Commonwealth material licensed under the Creative Commons 4.0 BY NC ND requires the following:</w:t>
      </w:r>
    </w:p>
    <w:p w:rsidR="008F0795" w:rsidRDefault="008F0795" w:rsidP="008F0795">
      <w:pPr>
        <w:pStyle w:val="ListParagraph"/>
        <w:numPr>
          <w:ilvl w:val="0"/>
          <w:numId w:val="33"/>
        </w:numPr>
        <w:ind w:left="714" w:hanging="357"/>
        <w:contextualSpacing w:val="0"/>
      </w:pPr>
      <w:r>
        <w:t xml:space="preserve">Attribution:  You must give appropriate credit, provide a link to the license, and indicate if changes were made. You may do so in any reasonable manner, but not in any way that suggests the licensor endorses you or your use. </w:t>
      </w:r>
    </w:p>
    <w:p w:rsidR="008F0795" w:rsidRDefault="008F0795" w:rsidP="008F0795">
      <w:pPr>
        <w:pStyle w:val="ListParagraph"/>
        <w:numPr>
          <w:ilvl w:val="0"/>
          <w:numId w:val="33"/>
        </w:numPr>
        <w:ind w:left="714" w:hanging="357"/>
        <w:contextualSpacing w:val="0"/>
      </w:pPr>
      <w:r>
        <w:t xml:space="preserve">Non Commercial:  You may not use the material for commercial purposes. </w:t>
      </w:r>
    </w:p>
    <w:p w:rsidR="008F0795" w:rsidRDefault="008F0795" w:rsidP="008F0795">
      <w:pPr>
        <w:pStyle w:val="ListParagraph"/>
        <w:numPr>
          <w:ilvl w:val="0"/>
          <w:numId w:val="33"/>
        </w:numPr>
        <w:ind w:left="714" w:hanging="357"/>
        <w:contextualSpacing w:val="0"/>
      </w:pPr>
      <w:proofErr w:type="gramStart"/>
      <w:r>
        <w:t>No Derivatives:  If you remix, transform, or build upon the material, you may not distribute the modified material.</w:t>
      </w:r>
      <w:proofErr w:type="gramEnd"/>
    </w:p>
    <w:p w:rsidR="008F0795" w:rsidRPr="00E942B3" w:rsidRDefault="008F0795" w:rsidP="008F0795">
      <w:pPr>
        <w:rPr>
          <w:b/>
        </w:rPr>
      </w:pPr>
      <w:r w:rsidRPr="00167EA7">
        <w:rPr>
          <w:b/>
        </w:rPr>
        <w:t>Enquiries</w:t>
      </w:r>
      <w:r>
        <w:rPr>
          <w:b/>
        </w:rPr>
        <w:br/>
      </w:r>
      <w:r>
        <w:t>For enquiries concerning reproduction and rights in Commission products and services, please contact &lt;</w:t>
      </w:r>
      <w:hyperlink r:id="rId11" w:history="1">
        <w:r w:rsidRPr="009371C6">
          <w:rPr>
            <w:rStyle w:val="Hyperlink"/>
          </w:rPr>
          <w:t>communications@apsc.gov.au</w:t>
        </w:r>
      </w:hyperlink>
      <w:r>
        <w:rPr>
          <w:rStyle w:val="Hyperlink"/>
        </w:rPr>
        <w:t>&gt;</w:t>
      </w:r>
    </w:p>
    <w:p w:rsidR="008F0795" w:rsidRDefault="008F0795">
      <w:pPr>
        <w:rPr>
          <w:noProof/>
          <w:lang w:eastAsia="en-AU"/>
        </w:rPr>
      </w:pPr>
      <w:r>
        <w:rPr>
          <w:noProof/>
          <w:lang w:eastAsia="en-AU"/>
        </w:rPr>
        <w:br w:type="page"/>
      </w:r>
    </w:p>
    <w:p w:rsidR="008F0795" w:rsidRDefault="008F0795" w:rsidP="000C777E">
      <w:pPr>
        <w:ind w:left="426"/>
        <w:rPr>
          <w:noProof/>
          <w:lang w:eastAsia="en-AU"/>
        </w:rPr>
        <w:sectPr w:rsidR="008F0795" w:rsidSect="00474F20">
          <w:pgSz w:w="11906" w:h="16838"/>
          <w:pgMar w:top="1928" w:right="1077" w:bottom="1440" w:left="1077" w:header="709" w:footer="709" w:gutter="0"/>
          <w:cols w:space="708"/>
          <w:docGrid w:linePitch="360"/>
        </w:sectPr>
      </w:pPr>
    </w:p>
    <w:p w:rsidR="008F0795" w:rsidRDefault="008F0795" w:rsidP="000C777E">
      <w:pPr>
        <w:ind w:left="426"/>
        <w:rPr>
          <w:noProof/>
          <w:lang w:eastAsia="en-AU"/>
        </w:rPr>
      </w:pPr>
    </w:p>
    <w:p w:rsidR="00A63318" w:rsidRPr="001B2652" w:rsidRDefault="001B78A8" w:rsidP="000C777E">
      <w:pPr>
        <w:ind w:left="426"/>
        <w:rPr>
          <w:noProof/>
          <w:lang w:eastAsia="en-AU"/>
        </w:rPr>
      </w:pPr>
      <w:r>
        <w:rPr>
          <w:noProof/>
          <w:lang w:eastAsia="en-AU"/>
        </w:rPr>
        <w:t>Assessing potentia</w:t>
      </w:r>
      <w:r w:rsidR="008B6DC0">
        <w:rPr>
          <w:noProof/>
          <w:lang w:eastAsia="en-AU"/>
        </w:rPr>
        <w:t xml:space="preserve">l is broadly recognised as one of the more difficult elements of talent management to get right.  </w:t>
      </w:r>
      <w:r w:rsidR="00A63318">
        <w:rPr>
          <w:noProof/>
          <w:lang w:eastAsia="en-AU"/>
        </w:rPr>
        <w:t>Clear identification</w:t>
      </w:r>
      <w:r w:rsidR="00A63318" w:rsidRPr="00A63318">
        <w:rPr>
          <w:rFonts w:eastAsiaTheme="majorEastAsia" w:cstheme="minorHAnsi"/>
          <w:bCs/>
        </w:rPr>
        <w:t xml:space="preserve"> of potential is critical in understanding someone’s likely ability to thrive in a more complex and ambiguous environment. The Corporate Leadership Council found that there are three qualities that define high potential:  Ability, Aspiration and Engagement</w:t>
      </w:r>
      <w:r w:rsidR="000C777E">
        <w:rPr>
          <w:rStyle w:val="FootnoteReference"/>
          <w:rFonts w:eastAsiaTheme="majorEastAsia" w:cstheme="minorHAnsi"/>
          <w:bCs/>
        </w:rPr>
        <w:footnoteReference w:id="1"/>
      </w:r>
      <w:r w:rsidR="00A63318" w:rsidRPr="00A63318">
        <w:rPr>
          <w:rFonts w:eastAsiaTheme="majorEastAsia" w:cstheme="minorHAnsi"/>
          <w:bCs/>
        </w:rPr>
        <w:t xml:space="preserve">.  On the basis of research across </w:t>
      </w:r>
      <w:r w:rsidR="0099409B">
        <w:rPr>
          <w:rFonts w:eastAsiaTheme="majorEastAsia" w:cstheme="minorHAnsi"/>
          <w:bCs/>
        </w:rPr>
        <w:t>19</w:t>
      </w:r>
      <w:r w:rsidR="000C777E">
        <w:rPr>
          <w:rFonts w:eastAsiaTheme="majorEastAsia" w:cstheme="minorHAnsi"/>
          <w:bCs/>
        </w:rPr>
        <w:t xml:space="preserve"> </w:t>
      </w:r>
      <w:r w:rsidR="0099409B">
        <w:rPr>
          <w:rFonts w:eastAsiaTheme="majorEastAsia" w:cstheme="minorHAnsi"/>
          <w:bCs/>
        </w:rPr>
        <w:t>models</w:t>
      </w:r>
      <w:r w:rsidR="0099409B" w:rsidRPr="00A63318">
        <w:rPr>
          <w:rFonts w:eastAsiaTheme="majorEastAsia" w:cstheme="minorHAnsi"/>
          <w:bCs/>
        </w:rPr>
        <w:t xml:space="preserve"> </w:t>
      </w:r>
      <w:r w:rsidR="00A63318" w:rsidRPr="00A63318">
        <w:rPr>
          <w:rFonts w:eastAsiaTheme="majorEastAsia" w:cstheme="minorHAnsi"/>
          <w:bCs/>
        </w:rPr>
        <w:t>on the identification of potential</w:t>
      </w:r>
      <w:r w:rsidR="000C777E">
        <w:rPr>
          <w:rStyle w:val="FootnoteReference"/>
          <w:rFonts w:eastAsiaTheme="majorEastAsia" w:cstheme="minorHAnsi"/>
          <w:bCs/>
        </w:rPr>
        <w:footnoteReference w:id="2"/>
      </w:r>
      <w:r w:rsidR="00A63318" w:rsidRPr="00A63318">
        <w:rPr>
          <w:rFonts w:eastAsiaTheme="majorEastAsia" w:cstheme="minorHAnsi"/>
          <w:bCs/>
        </w:rPr>
        <w:t>, the three qualities can be further broken down as:</w:t>
      </w:r>
    </w:p>
    <w:p w:rsidR="00A63318" w:rsidRPr="00A63318" w:rsidRDefault="00A63318" w:rsidP="000C777E">
      <w:pPr>
        <w:numPr>
          <w:ilvl w:val="0"/>
          <w:numId w:val="22"/>
        </w:numPr>
        <w:spacing w:after="0" w:line="240" w:lineRule="auto"/>
        <w:ind w:left="1418" w:hanging="709"/>
        <w:contextualSpacing/>
        <w:rPr>
          <w:rFonts w:eastAsiaTheme="majorEastAsia" w:cstheme="minorHAnsi"/>
          <w:bCs/>
        </w:rPr>
      </w:pPr>
      <w:r w:rsidRPr="00A63318">
        <w:rPr>
          <w:rFonts w:eastAsiaTheme="majorEastAsia" w:cstheme="minorHAnsi"/>
          <w:b/>
          <w:bCs/>
        </w:rPr>
        <w:t xml:space="preserve">Ability </w:t>
      </w:r>
      <w:r w:rsidRPr="00A63318">
        <w:rPr>
          <w:rFonts w:eastAsiaTheme="majorEastAsia" w:cstheme="minorHAnsi"/>
          <w:bCs/>
        </w:rPr>
        <w:t>identifies candidates who have the ability to grow, adapt and develop enough to handle the more complex work challenges which come with more senior roles. This includes cognitive capacity, emotional intelligence, adaptability &amp; learning orientation and propensity to lead.</w:t>
      </w:r>
    </w:p>
    <w:p w:rsidR="00A63318" w:rsidRPr="00A63318" w:rsidRDefault="00A63318" w:rsidP="000C777E">
      <w:pPr>
        <w:spacing w:after="0" w:line="240" w:lineRule="auto"/>
        <w:ind w:left="1418" w:hanging="709"/>
        <w:contextualSpacing/>
        <w:rPr>
          <w:rFonts w:eastAsiaTheme="majorEastAsia" w:cstheme="minorHAnsi"/>
          <w:bCs/>
        </w:rPr>
      </w:pPr>
    </w:p>
    <w:p w:rsidR="00A63318" w:rsidRPr="00A63318" w:rsidRDefault="00A63318" w:rsidP="000C777E">
      <w:pPr>
        <w:numPr>
          <w:ilvl w:val="0"/>
          <w:numId w:val="22"/>
        </w:numPr>
        <w:spacing w:after="0" w:line="240" w:lineRule="auto"/>
        <w:ind w:left="1418" w:hanging="709"/>
        <w:contextualSpacing/>
        <w:rPr>
          <w:rFonts w:eastAsiaTheme="majorEastAsia" w:cstheme="minorHAnsi"/>
          <w:bCs/>
        </w:rPr>
      </w:pPr>
      <w:r w:rsidRPr="00A63318">
        <w:rPr>
          <w:rFonts w:eastAsiaTheme="majorEastAsia" w:cstheme="minorHAnsi"/>
          <w:b/>
          <w:bCs/>
        </w:rPr>
        <w:t>Aspiration</w:t>
      </w:r>
      <w:r w:rsidRPr="00A63318">
        <w:rPr>
          <w:rFonts w:eastAsiaTheme="majorEastAsia" w:cstheme="minorHAnsi"/>
          <w:bCs/>
        </w:rPr>
        <w:t xml:space="preserve"> identifies candidates who have the motivation to do what it takes to rise to more senior positions.  This includes motivation and career aspiration.</w:t>
      </w:r>
    </w:p>
    <w:p w:rsidR="00A63318" w:rsidRPr="00A63318" w:rsidRDefault="00A63318" w:rsidP="000C777E">
      <w:pPr>
        <w:spacing w:after="0" w:line="240" w:lineRule="auto"/>
        <w:ind w:left="1418" w:hanging="709"/>
        <w:contextualSpacing/>
        <w:rPr>
          <w:rFonts w:eastAsiaTheme="majorEastAsia" w:cstheme="minorHAnsi"/>
          <w:bCs/>
        </w:rPr>
      </w:pPr>
    </w:p>
    <w:p w:rsidR="00A63318" w:rsidRPr="00A63318" w:rsidRDefault="00A63318" w:rsidP="000C777E">
      <w:pPr>
        <w:numPr>
          <w:ilvl w:val="0"/>
          <w:numId w:val="22"/>
        </w:numPr>
        <w:spacing w:after="0" w:line="240" w:lineRule="auto"/>
        <w:ind w:left="1418" w:hanging="709"/>
        <w:contextualSpacing/>
        <w:rPr>
          <w:rFonts w:eastAsiaTheme="majorEastAsia" w:cstheme="minorHAnsi"/>
          <w:bCs/>
        </w:rPr>
      </w:pPr>
      <w:r w:rsidRPr="00A63318">
        <w:rPr>
          <w:rFonts w:eastAsiaTheme="majorEastAsia" w:cstheme="minorHAnsi"/>
          <w:b/>
          <w:bCs/>
        </w:rPr>
        <w:t>Engagement</w:t>
      </w:r>
      <w:r w:rsidRPr="00A63318">
        <w:rPr>
          <w:rFonts w:eastAsiaTheme="majorEastAsia" w:cstheme="minorHAnsi"/>
          <w:bCs/>
        </w:rPr>
        <w:t xml:space="preserve"> identifies candidates who are more likely to stay with the organisation once they have succeeded to more senior roles, mitigating ‘flight risk’.  This includes culture, values</w:t>
      </w:r>
      <w:r w:rsidR="0099409B">
        <w:rPr>
          <w:rFonts w:eastAsiaTheme="majorEastAsia" w:cstheme="minorHAnsi"/>
          <w:bCs/>
        </w:rPr>
        <w:t>, discretionary effort</w:t>
      </w:r>
      <w:r w:rsidRPr="00A63318">
        <w:rPr>
          <w:rFonts w:eastAsiaTheme="majorEastAsia" w:cstheme="minorHAnsi"/>
          <w:bCs/>
        </w:rPr>
        <w:t xml:space="preserve"> and environmental fit.</w:t>
      </w:r>
    </w:p>
    <w:p w:rsidR="00A63318" w:rsidRPr="008B6DC0" w:rsidRDefault="00A63318" w:rsidP="000C777E">
      <w:pPr>
        <w:spacing w:after="0" w:line="240" w:lineRule="auto"/>
        <w:ind w:left="426"/>
        <w:contextualSpacing/>
        <w:rPr>
          <w:rFonts w:eastAsiaTheme="majorEastAsia" w:cstheme="minorHAnsi"/>
          <w:bCs/>
        </w:rPr>
      </w:pPr>
    </w:p>
    <w:p w:rsidR="008B6DC0" w:rsidRDefault="008B6DC0" w:rsidP="000C777E">
      <w:pPr>
        <w:spacing w:after="0" w:line="240" w:lineRule="auto"/>
        <w:ind w:left="426"/>
        <w:rPr>
          <w:rFonts w:eastAsiaTheme="majorEastAsia" w:cstheme="minorHAnsi"/>
          <w:bCs/>
        </w:rPr>
      </w:pPr>
      <w:r w:rsidRPr="008B6DC0">
        <w:rPr>
          <w:rFonts w:eastAsiaTheme="majorEastAsia" w:cstheme="minorHAnsi"/>
          <w:bCs/>
        </w:rPr>
        <w:t>The model below is used in the assessment of potential in the APS at an individual level.  High potential</w:t>
      </w:r>
      <w:r w:rsidR="0099409B">
        <w:rPr>
          <w:rFonts w:eastAsiaTheme="majorEastAsia" w:cstheme="minorHAnsi"/>
          <w:bCs/>
        </w:rPr>
        <w:t xml:space="preserve"> is the capacity to move into roles of greater complexity, ambiguity and scale and is demonstrated</w:t>
      </w:r>
      <w:r w:rsidRPr="008B6DC0">
        <w:rPr>
          <w:rFonts w:eastAsiaTheme="majorEastAsia" w:cstheme="minorHAnsi"/>
          <w:bCs/>
        </w:rPr>
        <w:t xml:space="preserve"> where all three qualities</w:t>
      </w:r>
      <w:r w:rsidR="0099409B">
        <w:rPr>
          <w:rFonts w:eastAsiaTheme="majorEastAsia" w:cstheme="minorHAnsi"/>
          <w:bCs/>
        </w:rPr>
        <w:t xml:space="preserve"> (ability, engagement, aspiration)</w:t>
      </w:r>
      <w:r w:rsidRPr="008B6DC0">
        <w:rPr>
          <w:rFonts w:eastAsiaTheme="majorEastAsia" w:cstheme="minorHAnsi"/>
          <w:bCs/>
        </w:rPr>
        <w:t xml:space="preserve"> overlap</w:t>
      </w:r>
      <w:r>
        <w:rPr>
          <w:rFonts w:eastAsiaTheme="majorEastAsia" w:cstheme="minorHAnsi"/>
          <w:bCs/>
        </w:rPr>
        <w:t>, when consistent high performance is already taken into account.</w:t>
      </w:r>
    </w:p>
    <w:p w:rsidR="0099409B" w:rsidRDefault="0099409B" w:rsidP="000C777E">
      <w:pPr>
        <w:spacing w:after="0" w:line="240" w:lineRule="auto"/>
        <w:ind w:left="426"/>
        <w:rPr>
          <w:rFonts w:eastAsiaTheme="majorEastAsia" w:cstheme="minorHAnsi"/>
          <w:bCs/>
        </w:rPr>
      </w:pPr>
    </w:p>
    <w:p w:rsidR="00016FCE" w:rsidRDefault="008F0795" w:rsidP="008F0795">
      <w:pPr>
        <w:spacing w:after="0" w:line="240" w:lineRule="auto"/>
        <w:ind w:left="426"/>
        <w:jc w:val="center"/>
        <w:rPr>
          <w:rFonts w:eastAsiaTheme="majorEastAsia" w:cstheme="minorHAnsi"/>
          <w:bCs/>
        </w:rPr>
      </w:pPr>
      <w:r>
        <w:rPr>
          <w:rFonts w:eastAsiaTheme="majorEastAsia" w:cstheme="minorHAnsi"/>
          <w:bCs/>
          <w:noProof/>
          <w:lang w:eastAsia="en-AU"/>
        </w:rPr>
        <w:drawing>
          <wp:inline distT="0" distB="0" distL="0" distR="0" wp14:anchorId="282175F5" wp14:editId="26B6F466">
            <wp:extent cx="4215384" cy="3639312"/>
            <wp:effectExtent l="0" t="0" r="0" b="0"/>
            <wp:docPr id="8" name="Picture 8" descr="Venn diagram indicating that high potential is made up of a combination of ability, engagement and aspiration.  Where ability includes cognitive capacity, emotional intelligence, adaptability &amp; learning orientation and propensity to lead.  Aspriation includes motivation and career aspiration.  Engagement includees alignment with APS cultures and values, discretionary effort and environmental fit." title="APS High Potenti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ent management Diagram 2 lighter lighter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15384" cy="3639312"/>
                    </a:xfrm>
                    <a:prstGeom prst="rect">
                      <a:avLst/>
                    </a:prstGeom>
                  </pic:spPr>
                </pic:pic>
              </a:graphicData>
            </a:graphic>
          </wp:inline>
        </w:drawing>
      </w:r>
    </w:p>
    <w:p w:rsidR="002D09C1" w:rsidRPr="00BF4621" w:rsidRDefault="002D09C1" w:rsidP="00BF4621">
      <w:pPr>
        <w:spacing w:after="0" w:line="240" w:lineRule="auto"/>
        <w:ind w:left="426"/>
        <w:rPr>
          <w:rFonts w:eastAsiaTheme="majorEastAsia" w:cstheme="minorHAnsi"/>
          <w:bCs/>
        </w:rPr>
        <w:sectPr w:rsidR="002D09C1" w:rsidRPr="00BF4621" w:rsidSect="008F0795">
          <w:headerReference w:type="default" r:id="rId13"/>
          <w:pgSz w:w="11906" w:h="16838"/>
          <w:pgMar w:top="1985" w:right="1077" w:bottom="1440" w:left="1077" w:header="709" w:footer="709" w:gutter="0"/>
          <w:cols w:space="708"/>
          <w:docGrid w:linePitch="360"/>
        </w:sectPr>
      </w:pPr>
    </w:p>
    <w:tbl>
      <w:tblPr>
        <w:tblStyle w:val="TableGrid"/>
        <w:tblW w:w="10835" w:type="dxa"/>
        <w:tblLayout w:type="fixed"/>
        <w:tblLook w:val="04A0" w:firstRow="1" w:lastRow="0" w:firstColumn="1" w:lastColumn="0" w:noHBand="0" w:noVBand="1"/>
        <w:tblCaption w:val="Definition of Potential"/>
        <w:tblDescription w:val="Details of behaviours and desciptors for each area of potential.  Ability - cognitive capacity, emotional intelligence, adaptability &amp; learning orientation, propensity to lead.  Aspiration as motivation and career aspiration.  Engagement as alignment with APS cultures and values, discretionary effort and environmental fit."/>
      </w:tblPr>
      <w:tblGrid>
        <w:gridCol w:w="1101"/>
        <w:gridCol w:w="9734"/>
      </w:tblGrid>
      <w:tr w:rsidR="00F5379A" w:rsidTr="00F5379A">
        <w:trPr>
          <w:cantSplit/>
          <w:trHeight w:val="1134"/>
          <w:tblHeader/>
        </w:trPr>
        <w:tc>
          <w:tcPr>
            <w:tcW w:w="1101" w:type="dxa"/>
            <w:shd w:val="clear" w:color="auto" w:fill="000000" w:themeFill="text1"/>
            <w:textDirection w:val="btLr"/>
            <w:vAlign w:val="center"/>
          </w:tcPr>
          <w:p w:rsidR="00F5379A" w:rsidRPr="00F5379A" w:rsidRDefault="00F5379A" w:rsidP="00F5379A">
            <w:pPr>
              <w:ind w:left="113" w:right="113"/>
              <w:jc w:val="center"/>
              <w:rPr>
                <w:i/>
                <w:color w:val="FFFFFF" w:themeColor="background1"/>
              </w:rPr>
            </w:pPr>
            <w:bookmarkStart w:id="1" w:name="ColumnTitle" w:colFirst="0" w:colLast="0"/>
            <w:r w:rsidRPr="00F5379A">
              <w:rPr>
                <w:b/>
                <w:color w:val="FFFFFF" w:themeColor="background1"/>
              </w:rPr>
              <w:lastRenderedPageBreak/>
              <w:t xml:space="preserve">Ability </w:t>
            </w:r>
            <w:r w:rsidRPr="00F5379A">
              <w:rPr>
                <w:i/>
                <w:color w:val="FFFFFF" w:themeColor="background1"/>
              </w:rPr>
              <w:t>(Strong foundation &amp; capacity for growth)</w:t>
            </w:r>
          </w:p>
        </w:tc>
        <w:tc>
          <w:tcPr>
            <w:tcW w:w="9734" w:type="dxa"/>
          </w:tcPr>
          <w:p w:rsidR="00F5379A" w:rsidRPr="00F5379A" w:rsidRDefault="00F5379A" w:rsidP="00F5379A">
            <w:pPr>
              <w:pStyle w:val="Heading1"/>
              <w:outlineLvl w:val="0"/>
            </w:pPr>
            <w:r w:rsidRPr="00F5379A">
              <w:t>Cognitive Capacity</w:t>
            </w:r>
          </w:p>
          <w:p w:rsidR="00F5379A" w:rsidRPr="005940AF" w:rsidRDefault="00F5379A" w:rsidP="00F5379A">
            <w:pPr>
              <w:rPr>
                <w:i/>
                <w:sz w:val="18"/>
                <w:szCs w:val="18"/>
              </w:rPr>
            </w:pPr>
            <w:r w:rsidRPr="005940AF">
              <w:rPr>
                <w:i/>
                <w:sz w:val="18"/>
                <w:szCs w:val="18"/>
              </w:rPr>
              <w:t>(consistent and stable, unlikely to change)</w:t>
            </w:r>
          </w:p>
          <w:p w:rsidR="00F5379A" w:rsidRDefault="00F5379A" w:rsidP="00F5379A">
            <w:pPr>
              <w:rPr>
                <w:sz w:val="18"/>
                <w:szCs w:val="18"/>
              </w:rPr>
            </w:pPr>
            <w:r>
              <w:rPr>
                <w:sz w:val="18"/>
                <w:szCs w:val="18"/>
              </w:rPr>
              <w:t>C</w:t>
            </w:r>
            <w:r w:rsidRPr="005940AF">
              <w:rPr>
                <w:sz w:val="18"/>
                <w:szCs w:val="18"/>
              </w:rPr>
              <w:t>ognitive capacity is the strongest predictor of potential</w:t>
            </w:r>
            <w:r>
              <w:rPr>
                <w:sz w:val="18"/>
                <w:szCs w:val="18"/>
              </w:rPr>
              <w:t xml:space="preserve"> as it demonstrates the ability to think through and deal with increasingly complex problems and situations.  Cognitive capacity includes being able to:</w:t>
            </w:r>
            <w:r w:rsidRPr="005940AF">
              <w:rPr>
                <w:sz w:val="18"/>
                <w:szCs w:val="18"/>
              </w:rPr>
              <w:t xml:space="preserve"> </w:t>
            </w:r>
          </w:p>
          <w:p w:rsidR="00F5379A" w:rsidRDefault="00F5379A" w:rsidP="00F5379A">
            <w:pPr>
              <w:pStyle w:val="ListParagraph"/>
              <w:numPr>
                <w:ilvl w:val="0"/>
                <w:numId w:val="6"/>
              </w:numPr>
              <w:rPr>
                <w:sz w:val="18"/>
                <w:szCs w:val="18"/>
              </w:rPr>
            </w:pPr>
            <w:r>
              <w:rPr>
                <w:sz w:val="18"/>
                <w:szCs w:val="18"/>
              </w:rPr>
              <w:t>t</w:t>
            </w:r>
            <w:r w:rsidRPr="00DE79CF">
              <w:rPr>
                <w:sz w:val="18"/>
                <w:szCs w:val="18"/>
              </w:rPr>
              <w:t>ake in and process new information quickly</w:t>
            </w:r>
          </w:p>
          <w:p w:rsidR="00F5379A" w:rsidRDefault="00F5379A" w:rsidP="00F5379A">
            <w:pPr>
              <w:pStyle w:val="ListParagraph"/>
              <w:numPr>
                <w:ilvl w:val="0"/>
                <w:numId w:val="6"/>
              </w:numPr>
              <w:rPr>
                <w:sz w:val="18"/>
                <w:szCs w:val="18"/>
              </w:rPr>
            </w:pPr>
            <w:r>
              <w:rPr>
                <w:sz w:val="18"/>
                <w:szCs w:val="18"/>
              </w:rPr>
              <w:t>m</w:t>
            </w:r>
            <w:r w:rsidRPr="00DE79CF">
              <w:rPr>
                <w:sz w:val="18"/>
                <w:szCs w:val="18"/>
              </w:rPr>
              <w:t>ake connections</w:t>
            </w:r>
            <w:r>
              <w:rPr>
                <w:sz w:val="18"/>
                <w:szCs w:val="18"/>
              </w:rPr>
              <w:t xml:space="preserve"> &amp; see patterns</w:t>
            </w:r>
          </w:p>
          <w:p w:rsidR="00F5379A" w:rsidRPr="00DE79CF" w:rsidRDefault="00F5379A" w:rsidP="00F5379A">
            <w:pPr>
              <w:pStyle w:val="ListParagraph"/>
              <w:numPr>
                <w:ilvl w:val="0"/>
                <w:numId w:val="6"/>
              </w:numPr>
              <w:rPr>
                <w:sz w:val="18"/>
                <w:szCs w:val="18"/>
              </w:rPr>
            </w:pPr>
            <w:r>
              <w:rPr>
                <w:sz w:val="18"/>
                <w:szCs w:val="18"/>
              </w:rPr>
              <w:t>g</w:t>
            </w:r>
            <w:r w:rsidRPr="00DE79CF">
              <w:rPr>
                <w:sz w:val="18"/>
                <w:szCs w:val="18"/>
              </w:rPr>
              <w:t>rasp new concepts</w:t>
            </w:r>
            <w:r>
              <w:rPr>
                <w:sz w:val="18"/>
                <w:szCs w:val="18"/>
              </w:rPr>
              <w:t>; formulate ideas and hypotheses</w:t>
            </w:r>
          </w:p>
          <w:p w:rsidR="00F5379A" w:rsidRDefault="00F5379A" w:rsidP="00F5379A">
            <w:pPr>
              <w:pStyle w:val="ListParagraph"/>
              <w:numPr>
                <w:ilvl w:val="0"/>
                <w:numId w:val="6"/>
              </w:numPr>
              <w:rPr>
                <w:sz w:val="18"/>
                <w:szCs w:val="18"/>
              </w:rPr>
            </w:pPr>
            <w:r>
              <w:rPr>
                <w:sz w:val="18"/>
                <w:szCs w:val="18"/>
              </w:rPr>
              <w:t>apply theory to complex tasks</w:t>
            </w:r>
          </w:p>
          <w:p w:rsidR="00F5379A" w:rsidRDefault="00F5379A" w:rsidP="00F5379A">
            <w:pPr>
              <w:rPr>
                <w:b/>
                <w:sz w:val="18"/>
                <w:szCs w:val="18"/>
              </w:rPr>
            </w:pPr>
          </w:p>
          <w:p w:rsidR="00F5379A" w:rsidRPr="005940AF" w:rsidRDefault="00F5379A" w:rsidP="00F5379A">
            <w:pPr>
              <w:pStyle w:val="Heading1"/>
              <w:outlineLvl w:val="0"/>
            </w:pPr>
            <w:r>
              <w:t>Emotional Intelligence</w:t>
            </w:r>
          </w:p>
          <w:p w:rsidR="00F5379A" w:rsidRPr="005940AF" w:rsidRDefault="00F5379A" w:rsidP="00F5379A">
            <w:pPr>
              <w:rPr>
                <w:i/>
                <w:sz w:val="18"/>
                <w:szCs w:val="18"/>
              </w:rPr>
            </w:pPr>
            <w:r w:rsidRPr="005940AF">
              <w:rPr>
                <w:i/>
                <w:sz w:val="18"/>
                <w:szCs w:val="18"/>
              </w:rPr>
              <w:t xml:space="preserve">(consistent </w:t>
            </w:r>
            <w:r>
              <w:rPr>
                <w:i/>
                <w:sz w:val="18"/>
                <w:szCs w:val="18"/>
              </w:rPr>
              <w:t xml:space="preserve">and </w:t>
            </w:r>
            <w:r w:rsidRPr="005940AF">
              <w:rPr>
                <w:i/>
                <w:sz w:val="18"/>
                <w:szCs w:val="18"/>
              </w:rPr>
              <w:t>stable, some elements can be developed)</w:t>
            </w:r>
          </w:p>
          <w:p w:rsidR="00F5379A" w:rsidRPr="005940AF" w:rsidRDefault="00F5379A" w:rsidP="00F5379A">
            <w:pPr>
              <w:rPr>
                <w:sz w:val="18"/>
                <w:szCs w:val="18"/>
              </w:rPr>
            </w:pPr>
            <w:r w:rsidRPr="00A62277">
              <w:rPr>
                <w:sz w:val="18"/>
                <w:szCs w:val="18"/>
              </w:rPr>
              <w:t xml:space="preserve">Emotional Intelligence is the ability to manage oneself and work </w:t>
            </w:r>
            <w:r>
              <w:rPr>
                <w:sz w:val="18"/>
                <w:szCs w:val="18"/>
              </w:rPr>
              <w:t>effectively with ot</w:t>
            </w:r>
            <w:r w:rsidRPr="00A62277">
              <w:rPr>
                <w:sz w:val="18"/>
                <w:szCs w:val="18"/>
              </w:rPr>
              <w:t>hers</w:t>
            </w:r>
            <w:r>
              <w:rPr>
                <w:sz w:val="18"/>
                <w:szCs w:val="18"/>
              </w:rPr>
              <w:t xml:space="preserve">. This is critical to success in </w:t>
            </w:r>
            <w:r w:rsidRPr="00B85502">
              <w:rPr>
                <w:sz w:val="18"/>
                <w:szCs w:val="18"/>
              </w:rPr>
              <w:t>increasingly ambiguous and contested environments</w:t>
            </w:r>
            <w:r>
              <w:rPr>
                <w:sz w:val="18"/>
                <w:szCs w:val="18"/>
              </w:rPr>
              <w:t xml:space="preserve"> and is an important indicator of potential</w:t>
            </w:r>
            <w:r w:rsidRPr="00A62277">
              <w:rPr>
                <w:sz w:val="18"/>
                <w:szCs w:val="18"/>
              </w:rPr>
              <w:t xml:space="preserve">.  </w:t>
            </w:r>
            <w:r>
              <w:rPr>
                <w:sz w:val="18"/>
                <w:szCs w:val="18"/>
              </w:rPr>
              <w:t xml:space="preserve">Emotional intelligence </w:t>
            </w:r>
            <w:r w:rsidRPr="005940AF">
              <w:rPr>
                <w:sz w:val="18"/>
                <w:szCs w:val="18"/>
              </w:rPr>
              <w:t>is indicated through</w:t>
            </w:r>
            <w:r>
              <w:rPr>
                <w:sz w:val="18"/>
                <w:szCs w:val="18"/>
              </w:rPr>
              <w:t>:</w:t>
            </w:r>
          </w:p>
          <w:p w:rsidR="00F5379A" w:rsidRPr="005940AF" w:rsidRDefault="00F5379A" w:rsidP="00F5379A">
            <w:pPr>
              <w:pStyle w:val="ListParagraph"/>
              <w:numPr>
                <w:ilvl w:val="0"/>
                <w:numId w:val="6"/>
              </w:numPr>
              <w:rPr>
                <w:sz w:val="18"/>
                <w:szCs w:val="18"/>
              </w:rPr>
            </w:pPr>
            <w:r w:rsidRPr="005940AF">
              <w:rPr>
                <w:sz w:val="18"/>
                <w:szCs w:val="18"/>
              </w:rPr>
              <w:t>emotional stability</w:t>
            </w:r>
            <w:r>
              <w:rPr>
                <w:sz w:val="18"/>
                <w:szCs w:val="18"/>
              </w:rPr>
              <w:t xml:space="preserve"> and resilience</w:t>
            </w:r>
          </w:p>
          <w:p w:rsidR="00F5379A" w:rsidRPr="005940AF" w:rsidRDefault="00F5379A" w:rsidP="00F5379A">
            <w:pPr>
              <w:pStyle w:val="ListParagraph"/>
              <w:numPr>
                <w:ilvl w:val="0"/>
                <w:numId w:val="6"/>
              </w:numPr>
              <w:rPr>
                <w:sz w:val="18"/>
                <w:szCs w:val="18"/>
              </w:rPr>
            </w:pPr>
            <w:r w:rsidRPr="005940AF">
              <w:rPr>
                <w:sz w:val="18"/>
                <w:szCs w:val="18"/>
              </w:rPr>
              <w:t>self-</w:t>
            </w:r>
            <w:r>
              <w:rPr>
                <w:sz w:val="18"/>
                <w:szCs w:val="18"/>
              </w:rPr>
              <w:t>awareness</w:t>
            </w:r>
          </w:p>
          <w:p w:rsidR="00F5379A" w:rsidRPr="005940AF" w:rsidRDefault="00F5379A" w:rsidP="00F5379A">
            <w:pPr>
              <w:pStyle w:val="ListParagraph"/>
              <w:numPr>
                <w:ilvl w:val="0"/>
                <w:numId w:val="6"/>
              </w:numPr>
              <w:rPr>
                <w:sz w:val="18"/>
                <w:szCs w:val="18"/>
              </w:rPr>
            </w:pPr>
            <w:r w:rsidRPr="005940AF">
              <w:rPr>
                <w:sz w:val="18"/>
                <w:szCs w:val="18"/>
              </w:rPr>
              <w:t>ability to develop personal relationships</w:t>
            </w:r>
          </w:p>
          <w:p w:rsidR="00F5379A" w:rsidRDefault="00F5379A" w:rsidP="00F5379A">
            <w:pPr>
              <w:pStyle w:val="ListParagraph"/>
              <w:numPr>
                <w:ilvl w:val="0"/>
                <w:numId w:val="6"/>
              </w:numPr>
              <w:rPr>
                <w:sz w:val="18"/>
                <w:szCs w:val="18"/>
              </w:rPr>
            </w:pPr>
            <w:r w:rsidRPr="005940AF">
              <w:rPr>
                <w:sz w:val="18"/>
                <w:szCs w:val="18"/>
              </w:rPr>
              <w:t>willingness to collaborate</w:t>
            </w:r>
          </w:p>
          <w:p w:rsidR="00F5379A" w:rsidRDefault="00F5379A" w:rsidP="00F5379A">
            <w:pPr>
              <w:pStyle w:val="ListParagraph"/>
              <w:numPr>
                <w:ilvl w:val="0"/>
                <w:numId w:val="6"/>
              </w:numPr>
              <w:rPr>
                <w:sz w:val="18"/>
                <w:szCs w:val="18"/>
              </w:rPr>
            </w:pPr>
            <w:r>
              <w:rPr>
                <w:sz w:val="18"/>
                <w:szCs w:val="18"/>
              </w:rPr>
              <w:t>empathy</w:t>
            </w:r>
          </w:p>
          <w:p w:rsidR="00F5379A" w:rsidRDefault="00F5379A" w:rsidP="00F5379A">
            <w:pPr>
              <w:rPr>
                <w:b/>
                <w:sz w:val="18"/>
                <w:szCs w:val="18"/>
              </w:rPr>
            </w:pPr>
          </w:p>
          <w:p w:rsidR="00F5379A" w:rsidRPr="00902576" w:rsidRDefault="00F5379A" w:rsidP="00F5379A">
            <w:pPr>
              <w:pStyle w:val="Heading1"/>
              <w:outlineLvl w:val="0"/>
            </w:pPr>
            <w:r>
              <w:t xml:space="preserve">Adaptability &amp; Learning Orientation </w:t>
            </w:r>
          </w:p>
          <w:p w:rsidR="00F5379A" w:rsidRDefault="00F5379A" w:rsidP="00F5379A">
            <w:pPr>
              <w:rPr>
                <w:i/>
                <w:sz w:val="18"/>
                <w:szCs w:val="18"/>
              </w:rPr>
            </w:pPr>
            <w:r w:rsidRPr="00D178D3">
              <w:rPr>
                <w:i/>
                <w:sz w:val="18"/>
                <w:szCs w:val="18"/>
              </w:rPr>
              <w:t>(</w:t>
            </w:r>
            <w:r>
              <w:rPr>
                <w:i/>
                <w:sz w:val="18"/>
                <w:szCs w:val="18"/>
              </w:rPr>
              <w:t>consistent and stable, some elements can be developed)</w:t>
            </w:r>
          </w:p>
          <w:p w:rsidR="00F5379A" w:rsidRDefault="00F5379A" w:rsidP="00F5379A">
            <w:pPr>
              <w:rPr>
                <w:sz w:val="18"/>
                <w:szCs w:val="18"/>
              </w:rPr>
            </w:pPr>
            <w:r>
              <w:rPr>
                <w:sz w:val="18"/>
                <w:szCs w:val="18"/>
              </w:rPr>
              <w:t>Adaptability and learning orientation facilitate growth and development. This is an important element in an individual’s openness to new roles and experiences, and the likelihood of being able to successfully adjust.  It is a combination of mental and behavioural flexibility:</w:t>
            </w:r>
          </w:p>
          <w:p w:rsidR="00F5379A" w:rsidRPr="00D178D3" w:rsidRDefault="00F5379A" w:rsidP="00F5379A">
            <w:pPr>
              <w:pStyle w:val="ListParagraph"/>
              <w:numPr>
                <w:ilvl w:val="0"/>
                <w:numId w:val="6"/>
              </w:numPr>
              <w:rPr>
                <w:sz w:val="18"/>
                <w:szCs w:val="18"/>
              </w:rPr>
            </w:pPr>
            <w:r>
              <w:rPr>
                <w:sz w:val="18"/>
                <w:szCs w:val="18"/>
              </w:rPr>
              <w:t>a</w:t>
            </w:r>
            <w:r w:rsidRPr="00D178D3">
              <w:rPr>
                <w:sz w:val="18"/>
                <w:szCs w:val="18"/>
              </w:rPr>
              <w:t>n interest in learning</w:t>
            </w:r>
          </w:p>
          <w:p w:rsidR="00F5379A" w:rsidRDefault="00F5379A" w:rsidP="00F5379A">
            <w:pPr>
              <w:pStyle w:val="ListParagraph"/>
              <w:numPr>
                <w:ilvl w:val="0"/>
                <w:numId w:val="6"/>
              </w:numPr>
              <w:rPr>
                <w:sz w:val="18"/>
                <w:szCs w:val="18"/>
              </w:rPr>
            </w:pPr>
            <w:r>
              <w:rPr>
                <w:sz w:val="18"/>
                <w:szCs w:val="18"/>
              </w:rPr>
              <w:t>o</w:t>
            </w:r>
            <w:r w:rsidRPr="00D178D3">
              <w:rPr>
                <w:sz w:val="18"/>
                <w:szCs w:val="18"/>
              </w:rPr>
              <w:t>penness to feedback</w:t>
            </w:r>
          </w:p>
          <w:p w:rsidR="00F5379A" w:rsidRPr="00E36432" w:rsidRDefault="00F5379A" w:rsidP="00F5379A">
            <w:pPr>
              <w:pStyle w:val="ListParagraph"/>
              <w:numPr>
                <w:ilvl w:val="0"/>
                <w:numId w:val="6"/>
              </w:numPr>
              <w:rPr>
                <w:sz w:val="18"/>
                <w:szCs w:val="18"/>
              </w:rPr>
            </w:pPr>
            <w:r w:rsidRPr="00E36432">
              <w:rPr>
                <w:sz w:val="18"/>
                <w:szCs w:val="18"/>
              </w:rPr>
              <w:t>versatility</w:t>
            </w:r>
          </w:p>
          <w:p w:rsidR="00F5379A" w:rsidRPr="00D178D3" w:rsidRDefault="00F5379A" w:rsidP="00F5379A">
            <w:pPr>
              <w:pStyle w:val="ListParagraph"/>
              <w:numPr>
                <w:ilvl w:val="0"/>
                <w:numId w:val="6"/>
              </w:numPr>
              <w:rPr>
                <w:sz w:val="18"/>
                <w:szCs w:val="18"/>
              </w:rPr>
            </w:pPr>
            <w:r>
              <w:rPr>
                <w:sz w:val="18"/>
                <w:szCs w:val="18"/>
              </w:rPr>
              <w:t>a</w:t>
            </w:r>
            <w:r w:rsidRPr="00D178D3">
              <w:rPr>
                <w:sz w:val="18"/>
                <w:szCs w:val="18"/>
              </w:rPr>
              <w:t>daptability</w:t>
            </w:r>
          </w:p>
          <w:p w:rsidR="00F5379A" w:rsidRPr="00D178D3" w:rsidRDefault="00F5379A" w:rsidP="00F5379A">
            <w:pPr>
              <w:pStyle w:val="ListParagraph"/>
              <w:numPr>
                <w:ilvl w:val="0"/>
                <w:numId w:val="6"/>
              </w:numPr>
              <w:rPr>
                <w:sz w:val="18"/>
                <w:szCs w:val="18"/>
              </w:rPr>
            </w:pPr>
            <w:r>
              <w:rPr>
                <w:sz w:val="18"/>
                <w:szCs w:val="18"/>
              </w:rPr>
              <w:t>a</w:t>
            </w:r>
            <w:r w:rsidRPr="00D178D3">
              <w:rPr>
                <w:sz w:val="18"/>
                <w:szCs w:val="18"/>
              </w:rPr>
              <w:t>bility to translate learning</w:t>
            </w:r>
            <w:r>
              <w:rPr>
                <w:sz w:val="18"/>
                <w:szCs w:val="18"/>
              </w:rPr>
              <w:t xml:space="preserve"> to behavioural change and action</w:t>
            </w:r>
          </w:p>
          <w:p w:rsidR="00F5379A" w:rsidRDefault="00F5379A" w:rsidP="00F5379A">
            <w:pPr>
              <w:rPr>
                <w:b/>
                <w:sz w:val="18"/>
                <w:szCs w:val="18"/>
              </w:rPr>
            </w:pPr>
          </w:p>
          <w:p w:rsidR="00F5379A" w:rsidRPr="004F5AE4" w:rsidRDefault="00F5379A" w:rsidP="00F5379A">
            <w:pPr>
              <w:pStyle w:val="Heading1"/>
              <w:outlineLvl w:val="0"/>
            </w:pPr>
            <w:r w:rsidRPr="004F5AE4">
              <w:t>Propensity to Lead</w:t>
            </w:r>
          </w:p>
          <w:p w:rsidR="00F5379A" w:rsidRDefault="00F5379A" w:rsidP="00F5379A">
            <w:pPr>
              <w:rPr>
                <w:i/>
                <w:sz w:val="18"/>
                <w:szCs w:val="18"/>
              </w:rPr>
            </w:pPr>
            <w:r>
              <w:rPr>
                <w:i/>
                <w:sz w:val="18"/>
                <w:szCs w:val="18"/>
              </w:rPr>
              <w:t>(consistent and stable, some elements can be developed)</w:t>
            </w:r>
          </w:p>
          <w:p w:rsidR="00F5379A" w:rsidRDefault="00F5379A" w:rsidP="00F5379A">
            <w:pPr>
              <w:rPr>
                <w:sz w:val="18"/>
                <w:szCs w:val="18"/>
              </w:rPr>
            </w:pPr>
            <w:r>
              <w:rPr>
                <w:sz w:val="18"/>
                <w:szCs w:val="18"/>
              </w:rPr>
              <w:t xml:space="preserve">The propensity to lead is an important indicator of likely success in more senior and broader roles.  It is the degree of comfort with taking charge, holding authority and empowering others: </w:t>
            </w:r>
          </w:p>
          <w:p w:rsidR="00F5379A" w:rsidRDefault="00F5379A" w:rsidP="00F5379A">
            <w:pPr>
              <w:pStyle w:val="ListParagraph"/>
              <w:numPr>
                <w:ilvl w:val="0"/>
                <w:numId w:val="6"/>
              </w:numPr>
              <w:rPr>
                <w:sz w:val="18"/>
                <w:szCs w:val="18"/>
              </w:rPr>
            </w:pPr>
            <w:r>
              <w:rPr>
                <w:sz w:val="18"/>
                <w:szCs w:val="18"/>
              </w:rPr>
              <w:t>setting direction</w:t>
            </w:r>
          </w:p>
          <w:p w:rsidR="00F5379A" w:rsidRPr="004F5AE4" w:rsidRDefault="00F5379A" w:rsidP="00F5379A">
            <w:pPr>
              <w:pStyle w:val="ListParagraph"/>
              <w:numPr>
                <w:ilvl w:val="0"/>
                <w:numId w:val="6"/>
              </w:numPr>
              <w:rPr>
                <w:sz w:val="18"/>
                <w:szCs w:val="18"/>
              </w:rPr>
            </w:pPr>
            <w:r>
              <w:rPr>
                <w:sz w:val="18"/>
                <w:szCs w:val="18"/>
              </w:rPr>
              <w:t xml:space="preserve">using </w:t>
            </w:r>
            <w:r w:rsidRPr="004F5AE4">
              <w:rPr>
                <w:sz w:val="18"/>
                <w:szCs w:val="18"/>
              </w:rPr>
              <w:t xml:space="preserve"> influence</w:t>
            </w:r>
          </w:p>
          <w:p w:rsidR="00F5379A" w:rsidRPr="00F5379A" w:rsidRDefault="00F5379A" w:rsidP="00F5379A">
            <w:pPr>
              <w:pStyle w:val="ListParagraph"/>
              <w:numPr>
                <w:ilvl w:val="0"/>
                <w:numId w:val="6"/>
              </w:numPr>
              <w:rPr>
                <w:sz w:val="18"/>
                <w:szCs w:val="18"/>
              </w:rPr>
            </w:pPr>
            <w:r>
              <w:rPr>
                <w:sz w:val="18"/>
                <w:szCs w:val="18"/>
              </w:rPr>
              <w:t>d</w:t>
            </w:r>
            <w:r w:rsidRPr="004F5AE4">
              <w:rPr>
                <w:sz w:val="18"/>
                <w:szCs w:val="18"/>
              </w:rPr>
              <w:t>eveloping and inspir</w:t>
            </w:r>
            <w:r>
              <w:rPr>
                <w:sz w:val="18"/>
                <w:szCs w:val="18"/>
              </w:rPr>
              <w:t>ing others</w:t>
            </w:r>
          </w:p>
        </w:tc>
      </w:tr>
      <w:tr w:rsidR="00F5379A" w:rsidTr="00F5379A">
        <w:trPr>
          <w:cantSplit/>
          <w:trHeight w:val="1134"/>
          <w:tblHeader/>
        </w:trPr>
        <w:tc>
          <w:tcPr>
            <w:tcW w:w="1101" w:type="dxa"/>
            <w:shd w:val="clear" w:color="auto" w:fill="000000" w:themeFill="text1"/>
            <w:textDirection w:val="btLr"/>
            <w:vAlign w:val="center"/>
          </w:tcPr>
          <w:p w:rsidR="00F5379A" w:rsidRPr="00F5379A" w:rsidRDefault="00F5379A" w:rsidP="00F5379A">
            <w:pPr>
              <w:ind w:left="113" w:right="113"/>
              <w:jc w:val="center"/>
              <w:rPr>
                <w:i/>
                <w:color w:val="FFFFFF" w:themeColor="background1"/>
              </w:rPr>
            </w:pPr>
            <w:r w:rsidRPr="00F5379A">
              <w:rPr>
                <w:b/>
                <w:color w:val="FFFFFF" w:themeColor="background1"/>
              </w:rPr>
              <w:t>Aspiration</w:t>
            </w:r>
            <w:r w:rsidRPr="00F5379A">
              <w:rPr>
                <w:i/>
                <w:color w:val="FFFFFF" w:themeColor="background1"/>
              </w:rPr>
              <w:t xml:space="preserve"> (Willingness &amp; desire to take on more responsibility)</w:t>
            </w:r>
          </w:p>
        </w:tc>
        <w:tc>
          <w:tcPr>
            <w:tcW w:w="9734" w:type="dxa"/>
          </w:tcPr>
          <w:p w:rsidR="00F5379A" w:rsidRPr="00D178D3" w:rsidRDefault="00F5379A" w:rsidP="00F5379A">
            <w:pPr>
              <w:pStyle w:val="Heading1"/>
              <w:outlineLvl w:val="0"/>
            </w:pPr>
            <w:r w:rsidRPr="00D178D3">
              <w:t>M</w:t>
            </w:r>
            <w:r>
              <w:t>o</w:t>
            </w:r>
            <w:r w:rsidRPr="00D178D3">
              <w:t>tivation</w:t>
            </w:r>
          </w:p>
          <w:p w:rsidR="00F5379A" w:rsidRDefault="00F5379A" w:rsidP="00F5379A">
            <w:pPr>
              <w:rPr>
                <w:sz w:val="18"/>
                <w:szCs w:val="18"/>
              </w:rPr>
            </w:pPr>
            <w:r>
              <w:rPr>
                <w:sz w:val="18"/>
                <w:szCs w:val="18"/>
              </w:rPr>
              <w:t>Motivation facilitates growth and development.  It is the energy, ambition and drive to succeed, demonstrated through the ability to:</w:t>
            </w:r>
          </w:p>
          <w:p w:rsidR="00F5379A" w:rsidRPr="00D178D3" w:rsidRDefault="00F5379A" w:rsidP="00F5379A">
            <w:pPr>
              <w:pStyle w:val="ListParagraph"/>
              <w:numPr>
                <w:ilvl w:val="0"/>
                <w:numId w:val="5"/>
              </w:numPr>
              <w:ind w:left="743" w:hanging="426"/>
              <w:rPr>
                <w:sz w:val="18"/>
                <w:szCs w:val="18"/>
              </w:rPr>
            </w:pPr>
            <w:r>
              <w:rPr>
                <w:sz w:val="18"/>
                <w:szCs w:val="18"/>
              </w:rPr>
              <w:t>c</w:t>
            </w:r>
            <w:r w:rsidRPr="00D178D3">
              <w:rPr>
                <w:sz w:val="18"/>
                <w:szCs w:val="18"/>
              </w:rPr>
              <w:t>ommit to a goal and see it through</w:t>
            </w:r>
          </w:p>
          <w:p w:rsidR="00F5379A" w:rsidRPr="00D178D3" w:rsidRDefault="00F5379A" w:rsidP="00F5379A">
            <w:pPr>
              <w:pStyle w:val="ListParagraph"/>
              <w:numPr>
                <w:ilvl w:val="0"/>
                <w:numId w:val="5"/>
              </w:numPr>
              <w:ind w:left="743" w:hanging="426"/>
              <w:rPr>
                <w:sz w:val="18"/>
                <w:szCs w:val="18"/>
              </w:rPr>
            </w:pPr>
            <w:r>
              <w:rPr>
                <w:sz w:val="18"/>
                <w:szCs w:val="18"/>
              </w:rPr>
              <w:t>take risks</w:t>
            </w:r>
          </w:p>
          <w:p w:rsidR="00F5379A" w:rsidRPr="00D178D3" w:rsidRDefault="00F5379A" w:rsidP="00F5379A">
            <w:pPr>
              <w:pStyle w:val="ListParagraph"/>
              <w:numPr>
                <w:ilvl w:val="0"/>
                <w:numId w:val="5"/>
              </w:numPr>
              <w:ind w:left="743" w:hanging="426"/>
              <w:rPr>
                <w:sz w:val="18"/>
                <w:szCs w:val="18"/>
              </w:rPr>
            </w:pPr>
            <w:r>
              <w:rPr>
                <w:sz w:val="18"/>
                <w:szCs w:val="18"/>
              </w:rPr>
              <w:t>consistently achieve in a variety of contexts and settings</w:t>
            </w:r>
          </w:p>
          <w:p w:rsidR="00F5379A" w:rsidRDefault="00F5379A" w:rsidP="00F5379A">
            <w:pPr>
              <w:rPr>
                <w:b/>
                <w:sz w:val="18"/>
                <w:szCs w:val="18"/>
              </w:rPr>
            </w:pPr>
          </w:p>
          <w:p w:rsidR="00F5379A" w:rsidRDefault="00F5379A" w:rsidP="00F5379A">
            <w:pPr>
              <w:pStyle w:val="Heading1"/>
              <w:outlineLvl w:val="0"/>
            </w:pPr>
            <w:r>
              <w:t>Career Aspiration</w:t>
            </w:r>
          </w:p>
          <w:p w:rsidR="00F5379A" w:rsidRPr="000D29CA" w:rsidRDefault="00F5379A" w:rsidP="00F5379A">
            <w:pPr>
              <w:rPr>
                <w:sz w:val="18"/>
                <w:szCs w:val="18"/>
              </w:rPr>
            </w:pPr>
            <w:r w:rsidRPr="000D29CA">
              <w:rPr>
                <w:sz w:val="18"/>
                <w:szCs w:val="18"/>
              </w:rPr>
              <w:t>Aspiration</w:t>
            </w:r>
            <w:r>
              <w:rPr>
                <w:sz w:val="18"/>
                <w:szCs w:val="18"/>
              </w:rPr>
              <w:t xml:space="preserve"> is the desire </w:t>
            </w:r>
            <w:r w:rsidRPr="000D29CA">
              <w:rPr>
                <w:sz w:val="18"/>
                <w:szCs w:val="18"/>
              </w:rPr>
              <w:t>to progress into broader and more complex roles, demonstrated through:</w:t>
            </w:r>
          </w:p>
          <w:p w:rsidR="00F5379A" w:rsidRPr="005308F6" w:rsidRDefault="00F5379A" w:rsidP="00F5379A">
            <w:pPr>
              <w:pStyle w:val="ListParagraph"/>
              <w:numPr>
                <w:ilvl w:val="0"/>
                <w:numId w:val="10"/>
              </w:numPr>
              <w:rPr>
                <w:sz w:val="18"/>
                <w:szCs w:val="18"/>
              </w:rPr>
            </w:pPr>
            <w:r>
              <w:rPr>
                <w:sz w:val="18"/>
                <w:szCs w:val="18"/>
              </w:rPr>
              <w:t>c</w:t>
            </w:r>
            <w:r w:rsidRPr="005308F6">
              <w:rPr>
                <w:sz w:val="18"/>
                <w:szCs w:val="18"/>
              </w:rPr>
              <w:t>areer ambition</w:t>
            </w:r>
          </w:p>
          <w:p w:rsidR="00F5379A" w:rsidRPr="005308F6" w:rsidRDefault="00F5379A" w:rsidP="00F5379A">
            <w:pPr>
              <w:pStyle w:val="ListParagraph"/>
              <w:numPr>
                <w:ilvl w:val="0"/>
                <w:numId w:val="10"/>
              </w:numPr>
              <w:rPr>
                <w:sz w:val="18"/>
                <w:szCs w:val="18"/>
              </w:rPr>
            </w:pPr>
            <w:r>
              <w:rPr>
                <w:sz w:val="18"/>
                <w:szCs w:val="18"/>
              </w:rPr>
              <w:t>p</w:t>
            </w:r>
            <w:r w:rsidRPr="005308F6">
              <w:rPr>
                <w:sz w:val="18"/>
                <w:szCs w:val="18"/>
              </w:rPr>
              <w:t>repar</w:t>
            </w:r>
            <w:r>
              <w:rPr>
                <w:sz w:val="18"/>
                <w:szCs w:val="18"/>
              </w:rPr>
              <w:t>edness</w:t>
            </w:r>
            <w:r w:rsidRPr="005308F6">
              <w:rPr>
                <w:sz w:val="18"/>
                <w:szCs w:val="18"/>
              </w:rPr>
              <w:t xml:space="preserve"> to take on greater responsibility</w:t>
            </w:r>
          </w:p>
          <w:p w:rsidR="00F5379A" w:rsidRDefault="00F5379A" w:rsidP="00F5379A">
            <w:pPr>
              <w:rPr>
                <w:i/>
              </w:rPr>
            </w:pPr>
            <w:proofErr w:type="gramStart"/>
            <w:r>
              <w:rPr>
                <w:sz w:val="18"/>
                <w:szCs w:val="18"/>
              </w:rPr>
              <w:t>p</w:t>
            </w:r>
            <w:r w:rsidRPr="005308F6">
              <w:rPr>
                <w:sz w:val="18"/>
                <w:szCs w:val="18"/>
              </w:rPr>
              <w:t>reparedness</w:t>
            </w:r>
            <w:proofErr w:type="gramEnd"/>
            <w:r w:rsidRPr="005308F6">
              <w:rPr>
                <w:sz w:val="18"/>
                <w:szCs w:val="18"/>
              </w:rPr>
              <w:t xml:space="preserve"> to step into new or complex assignments in order to learn.</w:t>
            </w:r>
          </w:p>
        </w:tc>
      </w:tr>
      <w:tr w:rsidR="00F5379A" w:rsidTr="00F5379A">
        <w:trPr>
          <w:cantSplit/>
          <w:trHeight w:val="1134"/>
          <w:tblHeader/>
        </w:trPr>
        <w:tc>
          <w:tcPr>
            <w:tcW w:w="1101" w:type="dxa"/>
            <w:shd w:val="clear" w:color="auto" w:fill="000000" w:themeFill="text1"/>
            <w:textDirection w:val="btLr"/>
            <w:vAlign w:val="center"/>
          </w:tcPr>
          <w:p w:rsidR="00F5379A" w:rsidRPr="00F5379A" w:rsidRDefault="00F5379A" w:rsidP="00F5379A">
            <w:pPr>
              <w:ind w:left="113" w:right="113"/>
              <w:jc w:val="center"/>
              <w:rPr>
                <w:i/>
                <w:color w:val="FFFFFF" w:themeColor="background1"/>
              </w:rPr>
            </w:pPr>
            <w:r w:rsidRPr="00F5379A">
              <w:rPr>
                <w:b/>
                <w:color w:val="FFFFFF" w:themeColor="background1"/>
              </w:rPr>
              <w:t xml:space="preserve">Engagement </w:t>
            </w:r>
            <w:r w:rsidRPr="00F5379A">
              <w:rPr>
                <w:i/>
                <w:color w:val="FFFFFF" w:themeColor="background1"/>
              </w:rPr>
              <w:t>(Career alignment)</w:t>
            </w:r>
          </w:p>
        </w:tc>
        <w:tc>
          <w:tcPr>
            <w:tcW w:w="9734" w:type="dxa"/>
          </w:tcPr>
          <w:p w:rsidR="00F5379A" w:rsidRPr="004F5AE4" w:rsidRDefault="00F5379A" w:rsidP="00F5379A">
            <w:pPr>
              <w:pStyle w:val="Heading1"/>
              <w:outlineLvl w:val="0"/>
            </w:pPr>
            <w:r>
              <w:t>Alignment with APS c</w:t>
            </w:r>
            <w:r w:rsidRPr="004F5AE4">
              <w:t xml:space="preserve">ulture and </w:t>
            </w:r>
            <w:r>
              <w:t>v</w:t>
            </w:r>
            <w:r w:rsidRPr="004F5AE4">
              <w:t>alues</w:t>
            </w:r>
          </w:p>
          <w:p w:rsidR="00F5379A" w:rsidRPr="004F5AE4" w:rsidRDefault="00F5379A" w:rsidP="00F5379A">
            <w:pPr>
              <w:rPr>
                <w:sz w:val="18"/>
                <w:szCs w:val="18"/>
              </w:rPr>
            </w:pPr>
            <w:r>
              <w:rPr>
                <w:sz w:val="18"/>
                <w:szCs w:val="18"/>
              </w:rPr>
              <w:t>Alignment of individual values and behaviours with the culture and values of the APS is an important requirement for future success within the APS</w:t>
            </w:r>
            <w:r w:rsidRPr="004F5AE4">
              <w:rPr>
                <w:sz w:val="18"/>
                <w:szCs w:val="18"/>
              </w:rPr>
              <w:t xml:space="preserve">.  </w:t>
            </w:r>
            <w:r>
              <w:rPr>
                <w:sz w:val="18"/>
                <w:szCs w:val="18"/>
              </w:rPr>
              <w:t>This is demonstrated through</w:t>
            </w:r>
            <w:r w:rsidRPr="004F5AE4">
              <w:rPr>
                <w:sz w:val="18"/>
                <w:szCs w:val="18"/>
              </w:rPr>
              <w:t>:</w:t>
            </w:r>
          </w:p>
          <w:p w:rsidR="00F5379A" w:rsidRDefault="00F5379A" w:rsidP="00F5379A">
            <w:pPr>
              <w:pStyle w:val="ListParagraph"/>
              <w:numPr>
                <w:ilvl w:val="0"/>
                <w:numId w:val="7"/>
              </w:numPr>
              <w:ind w:left="350" w:hanging="33"/>
              <w:rPr>
                <w:sz w:val="18"/>
                <w:szCs w:val="18"/>
              </w:rPr>
            </w:pPr>
            <w:r>
              <w:rPr>
                <w:sz w:val="18"/>
                <w:szCs w:val="18"/>
              </w:rPr>
              <w:t>c</w:t>
            </w:r>
            <w:r w:rsidRPr="004F5AE4">
              <w:rPr>
                <w:sz w:val="18"/>
                <w:szCs w:val="18"/>
              </w:rPr>
              <w:t>ommit</w:t>
            </w:r>
            <w:r>
              <w:rPr>
                <w:sz w:val="18"/>
                <w:szCs w:val="18"/>
              </w:rPr>
              <w:t>ment</w:t>
            </w:r>
            <w:r w:rsidRPr="004F5AE4">
              <w:rPr>
                <w:sz w:val="18"/>
                <w:szCs w:val="18"/>
              </w:rPr>
              <w:t xml:space="preserve"> to serve the government of the day</w:t>
            </w:r>
          </w:p>
          <w:p w:rsidR="00F5379A" w:rsidRDefault="00F5379A" w:rsidP="00F5379A">
            <w:pPr>
              <w:pStyle w:val="ListParagraph"/>
              <w:numPr>
                <w:ilvl w:val="0"/>
                <w:numId w:val="7"/>
              </w:numPr>
              <w:ind w:left="350" w:hanging="33"/>
              <w:rPr>
                <w:sz w:val="18"/>
                <w:szCs w:val="18"/>
              </w:rPr>
            </w:pPr>
            <w:r>
              <w:rPr>
                <w:sz w:val="18"/>
                <w:szCs w:val="18"/>
              </w:rPr>
              <w:t>acting with integrity and as a role model for the APS values</w:t>
            </w:r>
          </w:p>
          <w:p w:rsidR="00F5379A" w:rsidRDefault="00F5379A" w:rsidP="00F5379A">
            <w:pPr>
              <w:pStyle w:val="ListParagraph"/>
              <w:numPr>
                <w:ilvl w:val="0"/>
                <w:numId w:val="7"/>
              </w:numPr>
              <w:ind w:left="350" w:hanging="33"/>
              <w:rPr>
                <w:sz w:val="18"/>
                <w:szCs w:val="18"/>
              </w:rPr>
            </w:pPr>
            <w:r>
              <w:rPr>
                <w:sz w:val="18"/>
                <w:szCs w:val="18"/>
              </w:rPr>
              <w:t>being able to work effectively in the agency and APS context</w:t>
            </w:r>
          </w:p>
          <w:p w:rsidR="00F5379A" w:rsidRDefault="00F5379A" w:rsidP="00F5379A">
            <w:pPr>
              <w:pStyle w:val="ListParagraph"/>
              <w:numPr>
                <w:ilvl w:val="0"/>
                <w:numId w:val="7"/>
              </w:numPr>
              <w:ind w:left="350" w:hanging="33"/>
              <w:rPr>
                <w:sz w:val="18"/>
                <w:szCs w:val="18"/>
              </w:rPr>
            </w:pPr>
            <w:r>
              <w:rPr>
                <w:sz w:val="18"/>
                <w:szCs w:val="18"/>
              </w:rPr>
              <w:t>personal maturity</w:t>
            </w:r>
          </w:p>
          <w:p w:rsidR="00F5379A" w:rsidRDefault="00F5379A" w:rsidP="00F5379A">
            <w:pPr>
              <w:pStyle w:val="ListParagraph"/>
              <w:numPr>
                <w:ilvl w:val="0"/>
                <w:numId w:val="7"/>
              </w:numPr>
              <w:ind w:left="350" w:hanging="33"/>
              <w:rPr>
                <w:sz w:val="18"/>
                <w:szCs w:val="18"/>
              </w:rPr>
            </w:pPr>
            <w:r>
              <w:rPr>
                <w:sz w:val="18"/>
                <w:szCs w:val="18"/>
              </w:rPr>
              <w:t>authenticity</w:t>
            </w:r>
          </w:p>
          <w:p w:rsidR="00F5379A" w:rsidRDefault="00F5379A" w:rsidP="00F5379A">
            <w:pPr>
              <w:rPr>
                <w:b/>
                <w:sz w:val="18"/>
                <w:szCs w:val="18"/>
              </w:rPr>
            </w:pPr>
          </w:p>
          <w:p w:rsidR="00F5379A" w:rsidRDefault="00F5379A" w:rsidP="00F5379A">
            <w:pPr>
              <w:pStyle w:val="Heading1"/>
              <w:outlineLvl w:val="0"/>
            </w:pPr>
            <w:r>
              <w:t>Discretionary Effort</w:t>
            </w:r>
          </w:p>
          <w:p w:rsidR="00F5379A" w:rsidRDefault="00F5379A" w:rsidP="00F5379A">
            <w:pPr>
              <w:rPr>
                <w:sz w:val="18"/>
                <w:szCs w:val="18"/>
              </w:rPr>
            </w:pPr>
            <w:r w:rsidRPr="00B85502">
              <w:rPr>
                <w:sz w:val="18"/>
                <w:szCs w:val="18"/>
              </w:rPr>
              <w:t xml:space="preserve">Discretionary effort is </w:t>
            </w:r>
            <w:r>
              <w:rPr>
                <w:sz w:val="18"/>
                <w:szCs w:val="18"/>
              </w:rPr>
              <w:t>the w</w:t>
            </w:r>
            <w:r w:rsidRPr="00B85502">
              <w:rPr>
                <w:sz w:val="18"/>
                <w:szCs w:val="18"/>
              </w:rPr>
              <w:t>illingness to go above and beyond expectations to achieve a goal</w:t>
            </w:r>
            <w:r>
              <w:rPr>
                <w:sz w:val="18"/>
                <w:szCs w:val="18"/>
              </w:rPr>
              <w:t>. It indicates a high degree of engagement with the work of the agency or of the APS.</w:t>
            </w:r>
          </w:p>
          <w:p w:rsidR="00F5379A" w:rsidRDefault="00F5379A" w:rsidP="00F5379A">
            <w:pPr>
              <w:rPr>
                <w:b/>
                <w:i/>
                <w:sz w:val="18"/>
                <w:szCs w:val="18"/>
              </w:rPr>
            </w:pPr>
          </w:p>
          <w:p w:rsidR="00F5379A" w:rsidRPr="00B85502" w:rsidRDefault="00F5379A" w:rsidP="00F5379A">
            <w:pPr>
              <w:pStyle w:val="Heading1"/>
              <w:outlineLvl w:val="0"/>
            </w:pPr>
            <w:r w:rsidRPr="00B85502">
              <w:t>Environmental Fit</w:t>
            </w:r>
          </w:p>
          <w:p w:rsidR="00F5379A" w:rsidRPr="00596988" w:rsidRDefault="00F5379A" w:rsidP="00F5379A">
            <w:pPr>
              <w:rPr>
                <w:sz w:val="18"/>
                <w:szCs w:val="18"/>
              </w:rPr>
            </w:pPr>
            <w:r w:rsidRPr="00596988">
              <w:rPr>
                <w:sz w:val="18"/>
                <w:szCs w:val="18"/>
              </w:rPr>
              <w:t>Environmental fit will vary from agency to agency depending on specific functional  requirements such as:</w:t>
            </w:r>
          </w:p>
          <w:p w:rsidR="00FF796C" w:rsidRDefault="00F5379A" w:rsidP="00F5379A">
            <w:pPr>
              <w:pStyle w:val="ListParagraph"/>
              <w:numPr>
                <w:ilvl w:val="0"/>
                <w:numId w:val="32"/>
              </w:numPr>
              <w:rPr>
                <w:sz w:val="18"/>
                <w:szCs w:val="18"/>
              </w:rPr>
            </w:pPr>
            <w:r w:rsidRPr="00596988">
              <w:rPr>
                <w:sz w:val="18"/>
                <w:szCs w:val="18"/>
              </w:rPr>
              <w:t>Operational requirements</w:t>
            </w:r>
          </w:p>
          <w:p w:rsidR="00F5379A" w:rsidRPr="00FF796C" w:rsidRDefault="00F5379A" w:rsidP="00F5379A">
            <w:pPr>
              <w:pStyle w:val="ListParagraph"/>
              <w:numPr>
                <w:ilvl w:val="0"/>
                <w:numId w:val="32"/>
              </w:numPr>
              <w:rPr>
                <w:sz w:val="18"/>
                <w:szCs w:val="18"/>
              </w:rPr>
            </w:pPr>
            <w:r w:rsidRPr="00FF796C">
              <w:rPr>
                <w:sz w:val="18"/>
                <w:szCs w:val="18"/>
              </w:rPr>
              <w:t>Professional requirements</w:t>
            </w:r>
          </w:p>
        </w:tc>
      </w:tr>
      <w:bookmarkEnd w:id="1"/>
    </w:tbl>
    <w:p w:rsidR="00AA24C9" w:rsidRDefault="00AA24C9" w:rsidP="00F5379A"/>
    <w:sectPr w:rsidR="00AA24C9" w:rsidSect="00F5379A">
      <w:headerReference w:type="default" r:id="rId14"/>
      <w:pgSz w:w="11906" w:h="16838"/>
      <w:pgMar w:top="720" w:right="567"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93A" w:rsidRDefault="00A1493A" w:rsidP="000C777E">
      <w:pPr>
        <w:spacing w:after="0" w:line="240" w:lineRule="auto"/>
      </w:pPr>
      <w:r>
        <w:separator/>
      </w:r>
    </w:p>
  </w:endnote>
  <w:endnote w:type="continuationSeparator" w:id="0">
    <w:p w:rsidR="00A1493A" w:rsidRDefault="00A1493A" w:rsidP="000C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93A" w:rsidRDefault="00A1493A" w:rsidP="000C777E">
      <w:pPr>
        <w:spacing w:after="0" w:line="240" w:lineRule="auto"/>
      </w:pPr>
      <w:r>
        <w:separator/>
      </w:r>
    </w:p>
  </w:footnote>
  <w:footnote w:type="continuationSeparator" w:id="0">
    <w:p w:rsidR="00A1493A" w:rsidRDefault="00A1493A" w:rsidP="000C777E">
      <w:pPr>
        <w:spacing w:after="0" w:line="240" w:lineRule="auto"/>
      </w:pPr>
      <w:r>
        <w:continuationSeparator/>
      </w:r>
    </w:p>
  </w:footnote>
  <w:footnote w:id="1">
    <w:p w:rsidR="000C777E" w:rsidRDefault="000C777E">
      <w:pPr>
        <w:pStyle w:val="FootnoteText"/>
      </w:pPr>
      <w:r w:rsidRPr="00A43557">
        <w:rPr>
          <w:rStyle w:val="FootnoteReference"/>
          <w:color w:val="FF0000"/>
        </w:rPr>
        <w:footnoteRef/>
      </w:r>
      <w:r w:rsidRPr="00A43557">
        <w:rPr>
          <w:color w:val="FF0000"/>
        </w:rPr>
        <w:t xml:space="preserve"> </w:t>
      </w:r>
      <w:proofErr w:type="spellStart"/>
      <w:r w:rsidR="003208F1" w:rsidRPr="00A43557">
        <w:rPr>
          <w:color w:val="FF0000"/>
        </w:rPr>
        <w:t>CEB</w:t>
      </w:r>
      <w:proofErr w:type="spellEnd"/>
      <w:r w:rsidR="003208F1" w:rsidRPr="00A43557">
        <w:rPr>
          <w:color w:val="FF0000"/>
        </w:rPr>
        <w:t>,</w:t>
      </w:r>
      <w:r w:rsidR="00ED6AA3" w:rsidRPr="00A43557">
        <w:rPr>
          <w:color w:val="FF0000"/>
        </w:rPr>
        <w:t xml:space="preserve"> High-Potential Employee Management Survey,</w:t>
      </w:r>
      <w:r w:rsidR="003208F1" w:rsidRPr="00A43557">
        <w:rPr>
          <w:color w:val="FF0000"/>
        </w:rPr>
        <w:t xml:space="preserve"> Arlington VA,</w:t>
      </w:r>
      <w:r w:rsidR="00ED6AA3" w:rsidRPr="00A43557">
        <w:rPr>
          <w:color w:val="FF0000"/>
        </w:rPr>
        <w:t xml:space="preserve"> 2005</w:t>
      </w:r>
    </w:p>
  </w:footnote>
  <w:footnote w:id="2">
    <w:p w:rsidR="000C777E" w:rsidRDefault="000C777E">
      <w:pPr>
        <w:pStyle w:val="FootnoteText"/>
      </w:pPr>
      <w:r>
        <w:rPr>
          <w:rStyle w:val="FootnoteReference"/>
        </w:rPr>
        <w:footnoteRef/>
      </w:r>
      <w:r>
        <w:t xml:space="preserve"> People Measures (2015) Defining &amp; Predicting High Potential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95" w:rsidRDefault="008F0795">
    <w:pPr>
      <w:pStyle w:val="Header"/>
    </w:pPr>
    <w:r>
      <w:rPr>
        <w:noProof/>
        <w:lang w:eastAsia="en-AU"/>
      </w:rPr>
      <mc:AlternateContent>
        <mc:Choice Requires="wps">
          <w:drawing>
            <wp:anchor distT="0" distB="0" distL="114300" distR="114300" simplePos="0" relativeHeight="251662336" behindDoc="0" locked="0" layoutInCell="1" allowOverlap="1" wp14:anchorId="60306C31" wp14:editId="3CB383BF">
              <wp:simplePos x="0" y="0"/>
              <wp:positionH relativeFrom="column">
                <wp:posOffset>187960</wp:posOffset>
              </wp:positionH>
              <wp:positionV relativeFrom="paragraph">
                <wp:posOffset>368935</wp:posOffset>
              </wp:positionV>
              <wp:extent cx="3228975" cy="561975"/>
              <wp:effectExtent l="0" t="0" r="0" b="0"/>
              <wp:wrapNone/>
              <wp:docPr id="3" name="Text Box 3"/>
              <wp:cNvGraphicFramePr/>
              <a:graphic xmlns:a="http://schemas.openxmlformats.org/drawingml/2006/main">
                <a:graphicData uri="http://schemas.microsoft.com/office/word/2010/wordprocessingShape">
                  <wps:wsp>
                    <wps:cNvSpPr txBox="1"/>
                    <wps:spPr>
                      <a:xfrm>
                        <a:off x="0" y="0"/>
                        <a:ext cx="322897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0795" w:rsidRPr="00474F20" w:rsidRDefault="008F0795">
                          <w:pPr>
                            <w:rPr>
                              <w:b/>
                              <w:sz w:val="28"/>
                              <w:szCs w:val="28"/>
                            </w:rPr>
                          </w:pPr>
                          <w:r w:rsidRPr="00474F20">
                            <w:rPr>
                              <w:b/>
                              <w:sz w:val="28"/>
                              <w:szCs w:val="28"/>
                            </w:rPr>
                            <w:t>Talent Management Toolkit</w:t>
                          </w:r>
                          <w:r w:rsidRPr="00474F20">
                            <w:rPr>
                              <w:b/>
                              <w:sz w:val="28"/>
                              <w:szCs w:val="28"/>
                            </w:rPr>
                            <w:br/>
                            <w:t>APS Framework for High Potential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8pt;margin-top:29.05pt;width:254.25pt;height:4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" filled="f" stroked="f" strokeweight=".5pt">
              <v:textbox>
                <w:txbxContent>
                  <w:p w:rsidR="008F0795" w:rsidRPr="00474F20" w:rsidRDefault="008F0795">
                    <w:pPr>
                      <w:rPr>
                        <w:b/>
                        <w:sz w:val="28"/>
                        <w:szCs w:val="28"/>
                      </w:rPr>
                    </w:pPr>
                    <w:r w:rsidRPr="00474F20">
                      <w:rPr>
                        <w:b/>
                        <w:sz w:val="28"/>
                        <w:szCs w:val="28"/>
                      </w:rPr>
                      <w:t>Talent Management Toolkit</w:t>
                    </w:r>
                    <w:r w:rsidRPr="00474F20">
                      <w:rPr>
                        <w:b/>
                        <w:sz w:val="28"/>
                        <w:szCs w:val="28"/>
                      </w:rPr>
                      <w:br/>
                      <w:t>APS Framework for High Potential</w:t>
                    </w:r>
                  </w:p>
                </w:txbxContent>
              </v:textbox>
            </v:shape>
          </w:pict>
        </mc:Fallback>
      </mc:AlternateContent>
    </w:r>
    <w:r>
      <w:rPr>
        <w:noProof/>
        <w:lang w:eastAsia="en-AU"/>
      </w:rPr>
      <w:drawing>
        <wp:anchor distT="0" distB="0" distL="114300" distR="114300" simplePos="0" relativeHeight="251663360" behindDoc="1" locked="0" layoutInCell="1" allowOverlap="1" wp14:anchorId="7859F22F" wp14:editId="2DACFB46">
          <wp:simplePos x="0" y="0"/>
          <wp:positionH relativeFrom="column">
            <wp:posOffset>1905</wp:posOffset>
          </wp:positionH>
          <wp:positionV relativeFrom="paragraph">
            <wp:posOffset>-2540</wp:posOffset>
          </wp:positionV>
          <wp:extent cx="6515100" cy="1019175"/>
          <wp:effectExtent l="0" t="0" r="0" b="9525"/>
          <wp:wrapNone/>
          <wp:docPr id="4" name="Picture 4" descr="Office scene image with title: Talent Management Toolkit: APS Framework for High Potential" title="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71 Talent management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5100" cy="10191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F20" w:rsidRPr="00F5379A" w:rsidRDefault="00474F20" w:rsidP="00F537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856"/>
    <w:multiLevelType w:val="hybridMultilevel"/>
    <w:tmpl w:val="51523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AE7701"/>
    <w:multiLevelType w:val="hybridMultilevel"/>
    <w:tmpl w:val="508EC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1B5A0D"/>
    <w:multiLevelType w:val="hybridMultilevel"/>
    <w:tmpl w:val="E99CC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092720"/>
    <w:multiLevelType w:val="hybridMultilevel"/>
    <w:tmpl w:val="6BC83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B4F4996"/>
    <w:multiLevelType w:val="hybridMultilevel"/>
    <w:tmpl w:val="71D2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C46521"/>
    <w:multiLevelType w:val="hybridMultilevel"/>
    <w:tmpl w:val="F6687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C6764AF"/>
    <w:multiLevelType w:val="hybridMultilevel"/>
    <w:tmpl w:val="A2B6C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22487F"/>
    <w:multiLevelType w:val="hybridMultilevel"/>
    <w:tmpl w:val="DC006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D8759E"/>
    <w:multiLevelType w:val="hybridMultilevel"/>
    <w:tmpl w:val="96F0E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593892"/>
    <w:multiLevelType w:val="hybridMultilevel"/>
    <w:tmpl w:val="D30E7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001E43"/>
    <w:multiLevelType w:val="hybridMultilevel"/>
    <w:tmpl w:val="31B8D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183C68"/>
    <w:multiLevelType w:val="hybridMultilevel"/>
    <w:tmpl w:val="69008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9F17DF"/>
    <w:multiLevelType w:val="hybridMultilevel"/>
    <w:tmpl w:val="F6BAF6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FAE50CC"/>
    <w:multiLevelType w:val="hybridMultilevel"/>
    <w:tmpl w:val="F956F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4C1E22"/>
    <w:multiLevelType w:val="hybridMultilevel"/>
    <w:tmpl w:val="611E1E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183664"/>
    <w:multiLevelType w:val="hybridMultilevel"/>
    <w:tmpl w:val="A1E44A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670382B"/>
    <w:multiLevelType w:val="hybridMultilevel"/>
    <w:tmpl w:val="09F08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BB54EBF"/>
    <w:multiLevelType w:val="hybridMultilevel"/>
    <w:tmpl w:val="7E4E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3854F9"/>
    <w:multiLevelType w:val="hybridMultilevel"/>
    <w:tmpl w:val="35A6A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7C76E34"/>
    <w:multiLevelType w:val="hybridMultilevel"/>
    <w:tmpl w:val="3F527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5B1897"/>
    <w:multiLevelType w:val="hybridMultilevel"/>
    <w:tmpl w:val="FC002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C93AE4"/>
    <w:multiLevelType w:val="hybridMultilevel"/>
    <w:tmpl w:val="E7F43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B534518"/>
    <w:multiLevelType w:val="hybridMultilevel"/>
    <w:tmpl w:val="F1E8E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BB5692F"/>
    <w:multiLevelType w:val="hybridMultilevel"/>
    <w:tmpl w:val="E93E8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4C53D3"/>
    <w:multiLevelType w:val="hybridMultilevel"/>
    <w:tmpl w:val="FB72C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92D28C6"/>
    <w:multiLevelType w:val="hybridMultilevel"/>
    <w:tmpl w:val="D076C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D2021F1"/>
    <w:multiLevelType w:val="hybridMultilevel"/>
    <w:tmpl w:val="B4F47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FF85BCF"/>
    <w:multiLevelType w:val="hybridMultilevel"/>
    <w:tmpl w:val="DB468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09977B2"/>
    <w:multiLevelType w:val="hybridMultilevel"/>
    <w:tmpl w:val="79CAA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2E04701"/>
    <w:multiLevelType w:val="hybridMultilevel"/>
    <w:tmpl w:val="8C1C8A9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0">
    <w:nsid w:val="76B30211"/>
    <w:multiLevelType w:val="hybridMultilevel"/>
    <w:tmpl w:val="DE18D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DD36BFC"/>
    <w:multiLevelType w:val="hybridMultilevel"/>
    <w:tmpl w:val="DC8A3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FE423C7"/>
    <w:multiLevelType w:val="hybridMultilevel"/>
    <w:tmpl w:val="8B304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
  </w:num>
  <w:num w:numId="4">
    <w:abstractNumId w:val="31"/>
  </w:num>
  <w:num w:numId="5">
    <w:abstractNumId w:val="10"/>
  </w:num>
  <w:num w:numId="6">
    <w:abstractNumId w:val="21"/>
  </w:num>
  <w:num w:numId="7">
    <w:abstractNumId w:val="9"/>
  </w:num>
  <w:num w:numId="8">
    <w:abstractNumId w:val="22"/>
  </w:num>
  <w:num w:numId="9">
    <w:abstractNumId w:val="23"/>
  </w:num>
  <w:num w:numId="10">
    <w:abstractNumId w:val="27"/>
  </w:num>
  <w:num w:numId="11">
    <w:abstractNumId w:val="32"/>
  </w:num>
  <w:num w:numId="12">
    <w:abstractNumId w:val="29"/>
  </w:num>
  <w:num w:numId="13">
    <w:abstractNumId w:val="20"/>
  </w:num>
  <w:num w:numId="14">
    <w:abstractNumId w:val="25"/>
  </w:num>
  <w:num w:numId="15">
    <w:abstractNumId w:val="6"/>
  </w:num>
  <w:num w:numId="16">
    <w:abstractNumId w:val="28"/>
  </w:num>
  <w:num w:numId="17">
    <w:abstractNumId w:val="4"/>
  </w:num>
  <w:num w:numId="18">
    <w:abstractNumId w:val="1"/>
  </w:num>
  <w:num w:numId="19">
    <w:abstractNumId w:val="19"/>
  </w:num>
  <w:num w:numId="20">
    <w:abstractNumId w:val="7"/>
  </w:num>
  <w:num w:numId="21">
    <w:abstractNumId w:val="17"/>
  </w:num>
  <w:num w:numId="22">
    <w:abstractNumId w:val="14"/>
  </w:num>
  <w:num w:numId="23">
    <w:abstractNumId w:val="5"/>
  </w:num>
  <w:num w:numId="24">
    <w:abstractNumId w:val="15"/>
  </w:num>
  <w:num w:numId="25">
    <w:abstractNumId w:val="3"/>
  </w:num>
  <w:num w:numId="26">
    <w:abstractNumId w:val="24"/>
  </w:num>
  <w:num w:numId="27">
    <w:abstractNumId w:val="16"/>
  </w:num>
  <w:num w:numId="28">
    <w:abstractNumId w:val="12"/>
  </w:num>
  <w:num w:numId="29">
    <w:abstractNumId w:val="18"/>
  </w:num>
  <w:num w:numId="30">
    <w:abstractNumId w:val="26"/>
  </w:num>
  <w:num w:numId="31">
    <w:abstractNumId w:val="11"/>
  </w:num>
  <w:num w:numId="32">
    <w:abstractNumId w:val="8"/>
  </w:num>
  <w:num w:numId="3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gan">
    <w15:presenceInfo w15:providerId="None" w15:userId="Me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E59"/>
    <w:rsid w:val="00004B3E"/>
    <w:rsid w:val="00016FCE"/>
    <w:rsid w:val="00025DB7"/>
    <w:rsid w:val="00027A09"/>
    <w:rsid w:val="00033171"/>
    <w:rsid w:val="000C777E"/>
    <w:rsid w:val="00105D9B"/>
    <w:rsid w:val="001B1E6F"/>
    <w:rsid w:val="001B2652"/>
    <w:rsid w:val="001B78A8"/>
    <w:rsid w:val="00222DEE"/>
    <w:rsid w:val="00236059"/>
    <w:rsid w:val="00275AA3"/>
    <w:rsid w:val="002A029A"/>
    <w:rsid w:val="002D09C1"/>
    <w:rsid w:val="002D1B6C"/>
    <w:rsid w:val="003208F1"/>
    <w:rsid w:val="00332B78"/>
    <w:rsid w:val="00366005"/>
    <w:rsid w:val="00414BE2"/>
    <w:rsid w:val="00474F20"/>
    <w:rsid w:val="004F5AE4"/>
    <w:rsid w:val="005004FB"/>
    <w:rsid w:val="005308F6"/>
    <w:rsid w:val="005737C4"/>
    <w:rsid w:val="005940AF"/>
    <w:rsid w:val="00596988"/>
    <w:rsid w:val="005C6E16"/>
    <w:rsid w:val="005D1ACE"/>
    <w:rsid w:val="006711B2"/>
    <w:rsid w:val="006853AB"/>
    <w:rsid w:val="006A5F21"/>
    <w:rsid w:val="006B6381"/>
    <w:rsid w:val="006C277C"/>
    <w:rsid w:val="00745AF2"/>
    <w:rsid w:val="00750219"/>
    <w:rsid w:val="008012E9"/>
    <w:rsid w:val="00831987"/>
    <w:rsid w:val="00832621"/>
    <w:rsid w:val="00856A17"/>
    <w:rsid w:val="008A0F90"/>
    <w:rsid w:val="008B04DE"/>
    <w:rsid w:val="008B6836"/>
    <w:rsid w:val="008B6DC0"/>
    <w:rsid w:val="008D5FFC"/>
    <w:rsid w:val="008E2B12"/>
    <w:rsid w:val="008F0795"/>
    <w:rsid w:val="008F7D58"/>
    <w:rsid w:val="00902576"/>
    <w:rsid w:val="00983228"/>
    <w:rsid w:val="0099409B"/>
    <w:rsid w:val="009C1F05"/>
    <w:rsid w:val="009C4BA9"/>
    <w:rsid w:val="009D2127"/>
    <w:rsid w:val="009F7794"/>
    <w:rsid w:val="00A1493A"/>
    <w:rsid w:val="00A43557"/>
    <w:rsid w:val="00A4603B"/>
    <w:rsid w:val="00A62277"/>
    <w:rsid w:val="00A63318"/>
    <w:rsid w:val="00A76C13"/>
    <w:rsid w:val="00A8455D"/>
    <w:rsid w:val="00AA24C9"/>
    <w:rsid w:val="00AC572E"/>
    <w:rsid w:val="00B3736E"/>
    <w:rsid w:val="00B57318"/>
    <w:rsid w:val="00B82F1B"/>
    <w:rsid w:val="00B85502"/>
    <w:rsid w:val="00BD6685"/>
    <w:rsid w:val="00BF4621"/>
    <w:rsid w:val="00C46744"/>
    <w:rsid w:val="00C72F04"/>
    <w:rsid w:val="00D178D3"/>
    <w:rsid w:val="00D42E56"/>
    <w:rsid w:val="00D7698B"/>
    <w:rsid w:val="00DA7B46"/>
    <w:rsid w:val="00DC0E59"/>
    <w:rsid w:val="00DD0073"/>
    <w:rsid w:val="00DD2CF6"/>
    <w:rsid w:val="00DE79CF"/>
    <w:rsid w:val="00DF3EE0"/>
    <w:rsid w:val="00E36432"/>
    <w:rsid w:val="00ED6AA3"/>
    <w:rsid w:val="00F40E83"/>
    <w:rsid w:val="00F5379A"/>
    <w:rsid w:val="00FE22F1"/>
    <w:rsid w:val="00FF79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379A"/>
    <w:pPr>
      <w:spacing w:after="0" w:line="240" w:lineRule="auto"/>
      <w:outlineLvl w:val="0"/>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E59"/>
    <w:rPr>
      <w:rFonts w:ascii="Tahoma" w:hAnsi="Tahoma" w:cs="Tahoma"/>
      <w:sz w:val="16"/>
      <w:szCs w:val="16"/>
    </w:rPr>
  </w:style>
  <w:style w:type="table" w:styleId="TableGrid">
    <w:name w:val="Table Grid"/>
    <w:basedOn w:val="TableNormal"/>
    <w:rsid w:val="00801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7C4"/>
    <w:pPr>
      <w:ind w:left="720"/>
      <w:contextualSpacing/>
    </w:pPr>
  </w:style>
  <w:style w:type="character" w:styleId="CommentReference">
    <w:name w:val="annotation reference"/>
    <w:basedOn w:val="DefaultParagraphFont"/>
    <w:uiPriority w:val="99"/>
    <w:semiHidden/>
    <w:unhideWhenUsed/>
    <w:rsid w:val="00B82F1B"/>
    <w:rPr>
      <w:sz w:val="16"/>
      <w:szCs w:val="16"/>
    </w:rPr>
  </w:style>
  <w:style w:type="paragraph" w:styleId="CommentText">
    <w:name w:val="annotation text"/>
    <w:basedOn w:val="Normal"/>
    <w:link w:val="CommentTextChar"/>
    <w:uiPriority w:val="99"/>
    <w:semiHidden/>
    <w:unhideWhenUsed/>
    <w:rsid w:val="00B82F1B"/>
    <w:pPr>
      <w:spacing w:line="240" w:lineRule="auto"/>
    </w:pPr>
    <w:rPr>
      <w:sz w:val="20"/>
      <w:szCs w:val="20"/>
    </w:rPr>
  </w:style>
  <w:style w:type="character" w:customStyle="1" w:styleId="CommentTextChar">
    <w:name w:val="Comment Text Char"/>
    <w:basedOn w:val="DefaultParagraphFont"/>
    <w:link w:val="CommentText"/>
    <w:uiPriority w:val="99"/>
    <w:semiHidden/>
    <w:rsid w:val="00B82F1B"/>
    <w:rPr>
      <w:sz w:val="20"/>
      <w:szCs w:val="20"/>
    </w:rPr>
  </w:style>
  <w:style w:type="paragraph" w:styleId="CommentSubject">
    <w:name w:val="annotation subject"/>
    <w:basedOn w:val="CommentText"/>
    <w:next w:val="CommentText"/>
    <w:link w:val="CommentSubjectChar"/>
    <w:uiPriority w:val="99"/>
    <w:semiHidden/>
    <w:unhideWhenUsed/>
    <w:rsid w:val="00B82F1B"/>
    <w:rPr>
      <w:b/>
      <w:bCs/>
    </w:rPr>
  </w:style>
  <w:style w:type="character" w:customStyle="1" w:styleId="CommentSubjectChar">
    <w:name w:val="Comment Subject Char"/>
    <w:basedOn w:val="CommentTextChar"/>
    <w:link w:val="CommentSubject"/>
    <w:uiPriority w:val="99"/>
    <w:semiHidden/>
    <w:rsid w:val="00B82F1B"/>
    <w:rPr>
      <w:b/>
      <w:bCs/>
      <w:sz w:val="20"/>
      <w:szCs w:val="20"/>
    </w:rPr>
  </w:style>
  <w:style w:type="table" w:customStyle="1" w:styleId="GridTable4Accent1">
    <w:name w:val="Grid Table 4 Accent 1"/>
    <w:basedOn w:val="TableNormal"/>
    <w:uiPriority w:val="49"/>
    <w:rsid w:val="00016FC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semiHidden/>
    <w:unhideWhenUsed/>
    <w:rsid w:val="000C77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77E"/>
    <w:rPr>
      <w:sz w:val="20"/>
      <w:szCs w:val="20"/>
    </w:rPr>
  </w:style>
  <w:style w:type="character" w:styleId="FootnoteReference">
    <w:name w:val="footnote reference"/>
    <w:basedOn w:val="DefaultParagraphFont"/>
    <w:uiPriority w:val="99"/>
    <w:semiHidden/>
    <w:unhideWhenUsed/>
    <w:rsid w:val="000C777E"/>
    <w:rPr>
      <w:vertAlign w:val="superscript"/>
    </w:rPr>
  </w:style>
  <w:style w:type="table" w:customStyle="1" w:styleId="TableGrid1">
    <w:name w:val="Table Grid1"/>
    <w:basedOn w:val="TableNormal"/>
    <w:next w:val="TableGrid"/>
    <w:rsid w:val="00994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4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F20"/>
  </w:style>
  <w:style w:type="paragraph" w:styleId="Footer">
    <w:name w:val="footer"/>
    <w:basedOn w:val="Normal"/>
    <w:link w:val="FooterChar"/>
    <w:uiPriority w:val="99"/>
    <w:unhideWhenUsed/>
    <w:rsid w:val="00474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F20"/>
  </w:style>
  <w:style w:type="character" w:styleId="Hyperlink">
    <w:name w:val="Hyperlink"/>
    <w:basedOn w:val="DefaultParagraphFont"/>
    <w:uiPriority w:val="99"/>
    <w:unhideWhenUsed/>
    <w:qFormat/>
    <w:rsid w:val="008F0795"/>
    <w:rPr>
      <w:rFonts w:asciiTheme="minorHAnsi" w:hAnsiTheme="minorHAnsi"/>
      <w:b/>
      <w:bCs/>
      <w:color w:val="365F91" w:themeColor="accent1" w:themeShade="BF"/>
      <w:u w:val="single"/>
    </w:rPr>
  </w:style>
  <w:style w:type="paragraph" w:styleId="NormalWeb">
    <w:name w:val="Normal (Web)"/>
    <w:basedOn w:val="Normal"/>
    <w:uiPriority w:val="99"/>
    <w:unhideWhenUsed/>
    <w:rsid w:val="008F07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F5379A"/>
    <w:rPr>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379A"/>
    <w:pPr>
      <w:spacing w:after="0" w:line="240" w:lineRule="auto"/>
      <w:outlineLvl w:val="0"/>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E59"/>
    <w:rPr>
      <w:rFonts w:ascii="Tahoma" w:hAnsi="Tahoma" w:cs="Tahoma"/>
      <w:sz w:val="16"/>
      <w:szCs w:val="16"/>
    </w:rPr>
  </w:style>
  <w:style w:type="table" w:styleId="TableGrid">
    <w:name w:val="Table Grid"/>
    <w:basedOn w:val="TableNormal"/>
    <w:rsid w:val="00801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7C4"/>
    <w:pPr>
      <w:ind w:left="720"/>
      <w:contextualSpacing/>
    </w:pPr>
  </w:style>
  <w:style w:type="character" w:styleId="CommentReference">
    <w:name w:val="annotation reference"/>
    <w:basedOn w:val="DefaultParagraphFont"/>
    <w:uiPriority w:val="99"/>
    <w:semiHidden/>
    <w:unhideWhenUsed/>
    <w:rsid w:val="00B82F1B"/>
    <w:rPr>
      <w:sz w:val="16"/>
      <w:szCs w:val="16"/>
    </w:rPr>
  </w:style>
  <w:style w:type="paragraph" w:styleId="CommentText">
    <w:name w:val="annotation text"/>
    <w:basedOn w:val="Normal"/>
    <w:link w:val="CommentTextChar"/>
    <w:uiPriority w:val="99"/>
    <w:semiHidden/>
    <w:unhideWhenUsed/>
    <w:rsid w:val="00B82F1B"/>
    <w:pPr>
      <w:spacing w:line="240" w:lineRule="auto"/>
    </w:pPr>
    <w:rPr>
      <w:sz w:val="20"/>
      <w:szCs w:val="20"/>
    </w:rPr>
  </w:style>
  <w:style w:type="character" w:customStyle="1" w:styleId="CommentTextChar">
    <w:name w:val="Comment Text Char"/>
    <w:basedOn w:val="DefaultParagraphFont"/>
    <w:link w:val="CommentText"/>
    <w:uiPriority w:val="99"/>
    <w:semiHidden/>
    <w:rsid w:val="00B82F1B"/>
    <w:rPr>
      <w:sz w:val="20"/>
      <w:szCs w:val="20"/>
    </w:rPr>
  </w:style>
  <w:style w:type="paragraph" w:styleId="CommentSubject">
    <w:name w:val="annotation subject"/>
    <w:basedOn w:val="CommentText"/>
    <w:next w:val="CommentText"/>
    <w:link w:val="CommentSubjectChar"/>
    <w:uiPriority w:val="99"/>
    <w:semiHidden/>
    <w:unhideWhenUsed/>
    <w:rsid w:val="00B82F1B"/>
    <w:rPr>
      <w:b/>
      <w:bCs/>
    </w:rPr>
  </w:style>
  <w:style w:type="character" w:customStyle="1" w:styleId="CommentSubjectChar">
    <w:name w:val="Comment Subject Char"/>
    <w:basedOn w:val="CommentTextChar"/>
    <w:link w:val="CommentSubject"/>
    <w:uiPriority w:val="99"/>
    <w:semiHidden/>
    <w:rsid w:val="00B82F1B"/>
    <w:rPr>
      <w:b/>
      <w:bCs/>
      <w:sz w:val="20"/>
      <w:szCs w:val="20"/>
    </w:rPr>
  </w:style>
  <w:style w:type="table" w:customStyle="1" w:styleId="GridTable4Accent1">
    <w:name w:val="Grid Table 4 Accent 1"/>
    <w:basedOn w:val="TableNormal"/>
    <w:uiPriority w:val="49"/>
    <w:rsid w:val="00016FC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semiHidden/>
    <w:unhideWhenUsed/>
    <w:rsid w:val="000C77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77E"/>
    <w:rPr>
      <w:sz w:val="20"/>
      <w:szCs w:val="20"/>
    </w:rPr>
  </w:style>
  <w:style w:type="character" w:styleId="FootnoteReference">
    <w:name w:val="footnote reference"/>
    <w:basedOn w:val="DefaultParagraphFont"/>
    <w:uiPriority w:val="99"/>
    <w:semiHidden/>
    <w:unhideWhenUsed/>
    <w:rsid w:val="000C777E"/>
    <w:rPr>
      <w:vertAlign w:val="superscript"/>
    </w:rPr>
  </w:style>
  <w:style w:type="table" w:customStyle="1" w:styleId="TableGrid1">
    <w:name w:val="Table Grid1"/>
    <w:basedOn w:val="TableNormal"/>
    <w:next w:val="TableGrid"/>
    <w:rsid w:val="00994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4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F20"/>
  </w:style>
  <w:style w:type="paragraph" w:styleId="Footer">
    <w:name w:val="footer"/>
    <w:basedOn w:val="Normal"/>
    <w:link w:val="FooterChar"/>
    <w:uiPriority w:val="99"/>
    <w:unhideWhenUsed/>
    <w:rsid w:val="00474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F20"/>
  </w:style>
  <w:style w:type="character" w:styleId="Hyperlink">
    <w:name w:val="Hyperlink"/>
    <w:basedOn w:val="DefaultParagraphFont"/>
    <w:uiPriority w:val="99"/>
    <w:unhideWhenUsed/>
    <w:qFormat/>
    <w:rsid w:val="008F0795"/>
    <w:rPr>
      <w:rFonts w:asciiTheme="minorHAnsi" w:hAnsiTheme="minorHAnsi"/>
      <w:b/>
      <w:bCs/>
      <w:color w:val="365F91" w:themeColor="accent1" w:themeShade="BF"/>
      <w:u w:val="single"/>
    </w:rPr>
  </w:style>
  <w:style w:type="paragraph" w:styleId="NormalWeb">
    <w:name w:val="Normal (Web)"/>
    <w:basedOn w:val="Normal"/>
    <w:uiPriority w:val="99"/>
    <w:unhideWhenUsed/>
    <w:rsid w:val="008F07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F5379A"/>
    <w:rPr>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unications@aps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reativecommons.org/licenses/by-nc-nd/4.0/legalco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23C81339.dotm</Template>
  <TotalTime>0</TotalTime>
  <Pages>4</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framework for high potential</dc:title>
  <dc:creator/>
  <cp:keywords>talent management toolkit</cp:keywords>
  <cp:lastModifiedBy/>
  <cp:revision>1</cp:revision>
  <dcterms:created xsi:type="dcterms:W3CDTF">2015-09-11T04:16:00Z</dcterms:created>
  <dcterms:modified xsi:type="dcterms:W3CDTF">2015-09-17T23:31:00Z</dcterms:modified>
</cp:coreProperties>
</file>