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02" w:rsidRPr="00095295" w:rsidRDefault="002C3102" w:rsidP="00095295">
      <w:pPr>
        <w:pStyle w:val="Heading1"/>
      </w:pPr>
      <w:bookmarkStart w:id="0" w:name="_GoBack"/>
      <w:bookmarkEnd w:id="0"/>
      <w:r w:rsidRPr="00095295">
        <w:t>Your personal information</w:t>
      </w:r>
    </w:p>
    <w:p w:rsidR="00FD2999" w:rsidRDefault="00FD2999" w:rsidP="002C3102">
      <w:r w:rsidRPr="006A7E26"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Pr="00AC3A18" w:rsidRDefault="00F83D51" w:rsidP="002C310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8" w:history="1">
        <w:r w:rsidR="002C3102" w:rsidRPr="003D0414">
          <w:rPr>
            <w:rStyle w:val="Hyperlink"/>
          </w:rPr>
          <w:t>http://www.apsc.gov.au/privacy</w:t>
        </w:r>
      </w:hyperlink>
    </w:p>
    <w:p w:rsidR="00AC3A18" w:rsidRDefault="00AC3A18" w:rsidP="00AC3A18">
      <w:r>
        <w:t xml:space="preserve">The Australian Privacy Principles are contained in schedule 1 of the </w:t>
      </w:r>
      <w:r w:rsidRPr="00AC3A18">
        <w:rPr>
          <w:i/>
        </w:rPr>
        <w:t>Privacy Act 1988</w:t>
      </w:r>
      <w:r>
        <w:t>, and can be found here:</w:t>
      </w:r>
    </w:p>
    <w:p w:rsidR="00894D95" w:rsidRDefault="00F83D51" w:rsidP="002C3102">
      <w:pPr>
        <w:pStyle w:val="ListParagraph"/>
        <w:numPr>
          <w:ilvl w:val="0"/>
          <w:numId w:val="1"/>
        </w:numPr>
      </w:pPr>
      <w:hyperlink r:id="rId9" w:history="1">
        <w:r w:rsidR="00894D95" w:rsidRPr="00440C58">
          <w:rPr>
            <w:rStyle w:val="Hyperlink"/>
          </w:rPr>
          <w:t>https://www.legislation.gov.au/Details/C2019C00025</w:t>
        </w:r>
      </w:hyperlink>
      <w:r w:rsidR="00894D95">
        <w:t xml:space="preserve"> </w:t>
      </w:r>
    </w:p>
    <w:p w:rsidR="002C3102" w:rsidRDefault="002C3102" w:rsidP="002C3102">
      <w:r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802"/>
        <w:gridCol w:w="6768"/>
      </w:tblGrid>
      <w:tr w:rsidR="008E251B" w:rsidRPr="008E251B" w:rsidTr="008E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8E251B" w:rsidRPr="00503191" w:rsidRDefault="00AA7E63" w:rsidP="007C124F">
            <w:pPr>
              <w:pStyle w:val="Heading2"/>
              <w:outlineLvl w:val="1"/>
            </w:pPr>
            <w:r>
              <w:rPr>
                <w:bCs/>
              </w:rPr>
              <w:t>Indigenous</w:t>
            </w:r>
            <w:r w:rsidR="00E16ED4">
              <w:rPr>
                <w:bCs/>
              </w:rPr>
              <w:t xml:space="preserve"> Graduate </w:t>
            </w:r>
            <w:r w:rsidR="007C124F">
              <w:rPr>
                <w:bCs/>
              </w:rPr>
              <w:t>Pathway</w:t>
            </w:r>
            <w:r w:rsidR="00E16ED4">
              <w:rPr>
                <w:bCs/>
              </w:rPr>
              <w:t xml:space="preserve"> </w:t>
            </w:r>
            <w:r w:rsidR="008E251B" w:rsidRPr="00503191">
              <w:rPr>
                <w:bCs/>
              </w:rPr>
              <w:t>– APP 5 Notice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Who is collecting your personal information?</w:t>
            </w:r>
          </w:p>
        </w:tc>
        <w:tc>
          <w:tcPr>
            <w:tcW w:w="6768" w:type="dxa"/>
          </w:tcPr>
          <w:p w:rsidR="008E251B" w:rsidRPr="008E251B" w:rsidRDefault="00FD2999" w:rsidP="00917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>Your personal information is being collected by the Austral</w:t>
            </w:r>
            <w:r w:rsidR="00E16ED4">
              <w:t>ian Public Service Commission</w:t>
            </w:r>
            <w:r w:rsidR="00917FBA">
              <w:t xml:space="preserve"> (the Commission).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Collection of your personal information</w:t>
            </w:r>
          </w:p>
        </w:tc>
        <w:tc>
          <w:tcPr>
            <w:tcW w:w="6768" w:type="dxa"/>
          </w:tcPr>
          <w:p w:rsidR="008E251B" w:rsidRPr="008E251B" w:rsidRDefault="00F26A6C" w:rsidP="00487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6A6C">
              <w:t xml:space="preserve">Your personal information was provided by you </w:t>
            </w:r>
            <w:r w:rsidR="00D567B8">
              <w:t xml:space="preserve">as part of </w:t>
            </w:r>
            <w:r w:rsidR="00E16ED4">
              <w:t>the</w:t>
            </w:r>
            <w:r w:rsidR="007C124F">
              <w:t xml:space="preserve"> Indigenous Graduate Pathway recruitment process (EOI, Application and Recruitment process)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Authority for collection of personal information</w:t>
            </w:r>
          </w:p>
        </w:tc>
        <w:tc>
          <w:tcPr>
            <w:tcW w:w="6768" w:type="dxa"/>
          </w:tcPr>
          <w:p w:rsidR="00917FBA" w:rsidRDefault="00917FBA" w:rsidP="0008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Australian Public Service Commissioner has a number of employment-related functions under the </w:t>
            </w:r>
            <w:r w:rsidRPr="00917FBA">
              <w:rPr>
                <w:i/>
              </w:rPr>
              <w:t>Public Service Act 1999</w:t>
            </w:r>
            <w:r>
              <w:t xml:space="preserve">, including fostering an APS workforce that reflects the diversity of the Australian population.  The Indigenous Graduate </w:t>
            </w:r>
            <w:r w:rsidR="007C124F">
              <w:t>Pathway</w:t>
            </w:r>
            <w:r>
              <w:t xml:space="preserve"> is one of a number of activities conducted by the Commission </w:t>
            </w:r>
            <w:r w:rsidR="00034E7C">
              <w:t>in support of these functions</w:t>
            </w:r>
            <w:r>
              <w:t>.</w:t>
            </w:r>
          </w:p>
          <w:p w:rsidR="0008290F" w:rsidRPr="008E251B" w:rsidRDefault="0008290F" w:rsidP="00082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51B" w:rsidRPr="008E251B" w:rsidTr="008E251B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Why does the Commission collect your personal information?</w:t>
            </w:r>
          </w:p>
        </w:tc>
        <w:tc>
          <w:tcPr>
            <w:tcW w:w="6768" w:type="dxa"/>
          </w:tcPr>
          <w:p w:rsidR="008E251B" w:rsidRPr="008E251B" w:rsidRDefault="00E16ED4" w:rsidP="00E16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Commission collects your personal information to conduct recruitment and selection exercises for Australian Public Service and Commonwealth graduate development program vacancies. Your personal information may be used for recruitment-related reporting purposes, e.g. equal employment opportunity reporting, time to fill etc.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What would happen if the Commission did not collect your personal information?</w:t>
            </w:r>
          </w:p>
        </w:tc>
        <w:tc>
          <w:tcPr>
            <w:tcW w:w="6768" w:type="dxa"/>
          </w:tcPr>
          <w:p w:rsidR="008E251B" w:rsidRPr="008E251B" w:rsidRDefault="00E16ED4" w:rsidP="00E16E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the Commission did not collect your personal information, you would be unable to participate in recruitment activities conducted by the Commission.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Who will the Commission disclose your personal information to?</w:t>
            </w:r>
          </w:p>
        </w:tc>
        <w:tc>
          <w:tcPr>
            <w:tcW w:w="6768" w:type="dxa"/>
          </w:tcPr>
          <w:p w:rsidR="008D0E68" w:rsidRPr="008E251B" w:rsidRDefault="00E16ED4" w:rsidP="007C1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personal information will be disclosed to </w:t>
            </w:r>
            <w:r w:rsidR="00034E7C">
              <w:t xml:space="preserve">agencies and organisations that participate in the Indigenous Recruitment </w:t>
            </w:r>
            <w:r w:rsidR="007C124F">
              <w:t>processes</w:t>
            </w:r>
            <w:r w:rsidR="00034E7C">
              <w:t>.  This may include other Australian Public Service agencies as well as other public sector bodies.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Access to and correcti</w:t>
            </w:r>
            <w:r w:rsidR="0008290F">
              <w:t>on of your personal information</w:t>
            </w:r>
          </w:p>
        </w:tc>
        <w:tc>
          <w:tcPr>
            <w:tcW w:w="6768" w:type="dxa"/>
          </w:tcPr>
          <w:p w:rsidR="008E251B" w:rsidRPr="008E251B" w:rsidRDefault="00FD2999" w:rsidP="008E2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8E251B" w:rsidRPr="008E251B" w:rsidTr="008E2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08290F" w:rsidP="008E251B">
            <w:r>
              <w:t>Privacy complaint</w:t>
            </w:r>
          </w:p>
        </w:tc>
        <w:tc>
          <w:tcPr>
            <w:tcW w:w="6768" w:type="dxa"/>
          </w:tcPr>
          <w:p w:rsidR="008E251B" w:rsidRPr="008E251B" w:rsidRDefault="00FD2999" w:rsidP="008E2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2999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8E251B" w:rsidRPr="008E251B" w:rsidTr="008E2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E251B" w:rsidRPr="008E251B" w:rsidRDefault="008E251B" w:rsidP="008E251B">
            <w:r w:rsidRPr="008E251B">
              <w:t>Overseas disclosu</w:t>
            </w:r>
            <w:r w:rsidR="00E048EB">
              <w:t>re of your personal information</w:t>
            </w:r>
          </w:p>
        </w:tc>
        <w:tc>
          <w:tcPr>
            <w:tcW w:w="6768" w:type="dxa"/>
          </w:tcPr>
          <w:p w:rsidR="008E251B" w:rsidRPr="008E251B" w:rsidRDefault="00FD2999" w:rsidP="001B3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999">
              <w:t>It is</w:t>
            </w:r>
            <w:r w:rsidR="001B3A75">
              <w:t xml:space="preserve"> un</w:t>
            </w:r>
            <w:r w:rsidRPr="00FD2999">
              <w:t>likely that your personal information will be disclosed to any overseas recipients.</w:t>
            </w:r>
          </w:p>
        </w:tc>
      </w:tr>
    </w:tbl>
    <w:p w:rsidR="00FA7342" w:rsidRDefault="00FA7342"/>
    <w:sectPr w:rsidR="00FA7342" w:rsidSect="00F26A6C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AA0" w:rsidRDefault="00080AA0" w:rsidP="00F26A6C">
      <w:pPr>
        <w:spacing w:after="0" w:line="240" w:lineRule="auto"/>
      </w:pPr>
      <w:r>
        <w:separator/>
      </w:r>
    </w:p>
  </w:endnote>
  <w:endnote w:type="continuationSeparator" w:id="0">
    <w:p w:rsidR="00080AA0" w:rsidRDefault="00080AA0" w:rsidP="00F2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AA0" w:rsidRDefault="00080AA0" w:rsidP="00F26A6C">
      <w:pPr>
        <w:spacing w:after="0" w:line="240" w:lineRule="auto"/>
      </w:pPr>
      <w:r>
        <w:separator/>
      </w:r>
    </w:p>
  </w:footnote>
  <w:footnote w:type="continuationSeparator" w:id="0">
    <w:p w:rsidR="00080AA0" w:rsidRDefault="00080AA0" w:rsidP="00F2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A6C" w:rsidRDefault="00F26A6C">
    <w:pPr>
      <w:pStyle w:val="Header"/>
    </w:pPr>
    <w:r>
      <w:rPr>
        <w:noProof/>
      </w:rPr>
      <w:drawing>
        <wp:inline distT="0" distB="0" distL="0" distR="0" wp14:anchorId="47E3AC51">
          <wp:extent cx="2993390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950"/>
    <w:multiLevelType w:val="hybridMultilevel"/>
    <w:tmpl w:val="F6E0A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06056"/>
    <w:rsid w:val="00034E7C"/>
    <w:rsid w:val="00051186"/>
    <w:rsid w:val="00080AA0"/>
    <w:rsid w:val="0008290F"/>
    <w:rsid w:val="00095295"/>
    <w:rsid w:val="00117621"/>
    <w:rsid w:val="001A451C"/>
    <w:rsid w:val="001B3A75"/>
    <w:rsid w:val="001E2AC4"/>
    <w:rsid w:val="00247715"/>
    <w:rsid w:val="002C3102"/>
    <w:rsid w:val="00330838"/>
    <w:rsid w:val="0044255A"/>
    <w:rsid w:val="0045370F"/>
    <w:rsid w:val="004874EC"/>
    <w:rsid w:val="004D195F"/>
    <w:rsid w:val="00503191"/>
    <w:rsid w:val="005435E3"/>
    <w:rsid w:val="005652EF"/>
    <w:rsid w:val="00604370"/>
    <w:rsid w:val="006E1648"/>
    <w:rsid w:val="006E57A1"/>
    <w:rsid w:val="006F71B3"/>
    <w:rsid w:val="007C124F"/>
    <w:rsid w:val="00846C90"/>
    <w:rsid w:val="00894D95"/>
    <w:rsid w:val="008B1955"/>
    <w:rsid w:val="008D0E68"/>
    <w:rsid w:val="008E251B"/>
    <w:rsid w:val="00917FBA"/>
    <w:rsid w:val="00A909D0"/>
    <w:rsid w:val="00AA7E63"/>
    <w:rsid w:val="00AC3A18"/>
    <w:rsid w:val="00AF3642"/>
    <w:rsid w:val="00B54920"/>
    <w:rsid w:val="00C22761"/>
    <w:rsid w:val="00C2622F"/>
    <w:rsid w:val="00CC1CB9"/>
    <w:rsid w:val="00CD338A"/>
    <w:rsid w:val="00CD4858"/>
    <w:rsid w:val="00D567B8"/>
    <w:rsid w:val="00D801AA"/>
    <w:rsid w:val="00DD5376"/>
    <w:rsid w:val="00DF5A77"/>
    <w:rsid w:val="00E048EB"/>
    <w:rsid w:val="00E16ED4"/>
    <w:rsid w:val="00E922FF"/>
    <w:rsid w:val="00E96B07"/>
    <w:rsid w:val="00F26A6C"/>
    <w:rsid w:val="00F55A77"/>
    <w:rsid w:val="00F83D51"/>
    <w:rsid w:val="00FA7342"/>
    <w:rsid w:val="00FD2999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B59F5F8-6FF6-47F6-B9F9-9C809526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02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51B"/>
    <w:pPr>
      <w:keepNext/>
      <w:keepLines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251B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8E251B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6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6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6C"/>
    <w:rPr>
      <w:rFonts w:eastAsiaTheme="minorEastAsia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3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A75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75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B3A75"/>
    <w:pPr>
      <w:spacing w:after="0" w:line="240" w:lineRule="auto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16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Details/C2019C000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C31E-F378-4149-BD26-C2BE0799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BDB72C2F.dotm</Template>
  <TotalTime>1</TotalTime>
  <Pages>1</Pages>
  <Words>432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Kennedy</dc:creator>
  <cp:lastModifiedBy>NORRIS,Yvonne</cp:lastModifiedBy>
  <cp:revision>2</cp:revision>
  <cp:lastPrinted>2016-12-08T22:06:00Z</cp:lastPrinted>
  <dcterms:created xsi:type="dcterms:W3CDTF">2019-02-20T01:36:00Z</dcterms:created>
  <dcterms:modified xsi:type="dcterms:W3CDTF">2019-02-20T01:36:00Z</dcterms:modified>
</cp:coreProperties>
</file>